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939" w:rsidRPr="00D51FCD" w:rsidRDefault="00682939" w:rsidP="001C115B">
      <w:pPr>
        <w:spacing w:line="240" w:lineRule="auto"/>
        <w:jc w:val="center"/>
        <w:rPr>
          <w:rFonts w:ascii="Times New Roman" w:hAnsi="Times New Roman" w:cs="Times New Roman"/>
          <w:sz w:val="34"/>
          <w:szCs w:val="34"/>
        </w:rPr>
      </w:pPr>
      <w:r w:rsidRPr="00D51FCD">
        <w:rPr>
          <w:rFonts w:ascii="Times New Roman" w:hAnsi="Times New Roman" w:cs="Times New Roman"/>
          <w:sz w:val="34"/>
          <w:szCs w:val="34"/>
        </w:rPr>
        <w:t>Thermophysical Properties of Deep Eutectic Solvent-Carbon Nano</w:t>
      </w:r>
      <w:r w:rsidR="005E1495" w:rsidRPr="00D51FCD">
        <w:rPr>
          <w:rFonts w:ascii="Times New Roman" w:hAnsi="Times New Roman" w:cs="Times New Roman"/>
          <w:sz w:val="34"/>
          <w:szCs w:val="34"/>
        </w:rPr>
        <w:t>tubes (DES-CNT) based nanolubricant</w:t>
      </w:r>
    </w:p>
    <w:p w:rsidR="00441283" w:rsidRPr="00D51FCD" w:rsidRDefault="00441283" w:rsidP="001C115B">
      <w:pPr>
        <w:pStyle w:val="IEEEAuthorName"/>
        <w:rPr>
          <w:sz w:val="20"/>
        </w:rPr>
      </w:pPr>
      <w:r w:rsidRPr="00D51FCD">
        <w:rPr>
          <w:sz w:val="20"/>
        </w:rPr>
        <w:t>Rashmi Walvekar</w:t>
      </w:r>
      <w:r w:rsidRPr="00D51FCD">
        <w:rPr>
          <w:sz w:val="20"/>
          <w:vertAlign w:val="superscript"/>
        </w:rPr>
        <w:t>1*</w:t>
      </w:r>
      <w:r w:rsidR="00A662CD" w:rsidRPr="00D51FCD">
        <w:rPr>
          <w:sz w:val="20"/>
        </w:rPr>
        <w:t xml:space="preserve"> Amarpreet Singh</w:t>
      </w:r>
      <w:r w:rsidR="00A662CD" w:rsidRPr="00D51FCD">
        <w:rPr>
          <w:sz w:val="20"/>
          <w:vertAlign w:val="superscript"/>
        </w:rPr>
        <w:t>1</w:t>
      </w:r>
      <w:r w:rsidRPr="00D51FCD">
        <w:rPr>
          <w:sz w:val="20"/>
        </w:rPr>
        <w:t>, Mohammad Khalid</w:t>
      </w:r>
      <w:r w:rsidRPr="00D51FCD">
        <w:rPr>
          <w:sz w:val="20"/>
          <w:vertAlign w:val="superscript"/>
        </w:rPr>
        <w:t>2</w:t>
      </w:r>
      <w:r w:rsidRPr="00D51FCD">
        <w:rPr>
          <w:sz w:val="20"/>
        </w:rPr>
        <w:t xml:space="preserve">, </w:t>
      </w:r>
      <w:r w:rsidRPr="00D51FCD">
        <w:rPr>
          <w:rFonts w:asciiTheme="majorBidi" w:hAnsiTheme="majorBidi" w:cstheme="majorBidi"/>
          <w:sz w:val="20"/>
          <w:szCs w:val="18"/>
          <w:lang w:val="en-AU"/>
        </w:rPr>
        <w:t>TCSM Gupta</w:t>
      </w:r>
      <w:r w:rsidRPr="00D51FCD">
        <w:rPr>
          <w:rFonts w:asciiTheme="majorBidi" w:hAnsiTheme="majorBidi" w:cstheme="majorBidi"/>
          <w:sz w:val="20"/>
          <w:szCs w:val="18"/>
          <w:vertAlign w:val="superscript"/>
          <w:lang w:val="en-AU"/>
        </w:rPr>
        <w:t xml:space="preserve"> </w:t>
      </w:r>
      <w:r w:rsidR="00A662CD" w:rsidRPr="00D51FCD">
        <w:rPr>
          <w:rFonts w:asciiTheme="majorBidi" w:hAnsiTheme="majorBidi" w:cstheme="majorBidi"/>
          <w:sz w:val="20"/>
          <w:szCs w:val="18"/>
          <w:vertAlign w:val="superscript"/>
          <w:lang w:val="en-AU"/>
        </w:rPr>
        <w:t>3</w:t>
      </w:r>
      <w:r w:rsidR="00A662CD" w:rsidRPr="00D51FCD">
        <w:rPr>
          <w:sz w:val="20"/>
        </w:rPr>
        <w:t>, Wong Wai Yin</w:t>
      </w:r>
      <w:r w:rsidR="00A662CD" w:rsidRPr="00D51FCD">
        <w:rPr>
          <w:sz w:val="20"/>
          <w:vertAlign w:val="superscript"/>
        </w:rPr>
        <w:t>4</w:t>
      </w:r>
    </w:p>
    <w:p w:rsidR="00441283" w:rsidRPr="00D51FCD" w:rsidRDefault="00441283" w:rsidP="001C115B">
      <w:pPr>
        <w:pStyle w:val="NoSpacing"/>
        <w:jc w:val="center"/>
        <w:rPr>
          <w:rFonts w:ascii="Times New Roman" w:hAnsi="Times New Roman" w:cs="Times New Roman"/>
          <w:sz w:val="20"/>
          <w:szCs w:val="24"/>
        </w:rPr>
      </w:pPr>
      <w:r w:rsidRPr="00D51FCD">
        <w:rPr>
          <w:rFonts w:ascii="Times New Roman" w:hAnsi="Times New Roman" w:cs="Times New Roman"/>
          <w:sz w:val="20"/>
          <w:szCs w:val="24"/>
          <w:vertAlign w:val="superscript"/>
        </w:rPr>
        <w:t>1</w:t>
      </w:r>
      <w:r w:rsidRPr="00D51FCD">
        <w:rPr>
          <w:rFonts w:ascii="Times New Roman" w:hAnsi="Times New Roman" w:cs="Times New Roman"/>
          <w:sz w:val="20"/>
          <w:szCs w:val="24"/>
        </w:rPr>
        <w:t>Taylor’s University, Jalan Taylor’s, Subang Jaya, 47500 Selangor, Malaysia</w:t>
      </w:r>
    </w:p>
    <w:p w:rsidR="00441283" w:rsidRPr="00D51FCD" w:rsidRDefault="00441283" w:rsidP="001C115B">
      <w:pPr>
        <w:widowControl w:val="0"/>
        <w:autoSpaceDE w:val="0"/>
        <w:autoSpaceDN w:val="0"/>
        <w:adjustRightInd w:val="0"/>
        <w:spacing w:after="0" w:line="240" w:lineRule="auto"/>
        <w:jc w:val="center"/>
        <w:rPr>
          <w:rFonts w:ascii="Times New Roman" w:hAnsi="Times New Roman" w:cs="Times New Roman"/>
          <w:color w:val="222222"/>
          <w:sz w:val="20"/>
          <w:szCs w:val="24"/>
          <w:lang w:val="en-US"/>
        </w:rPr>
      </w:pPr>
      <w:r w:rsidRPr="00D51FCD">
        <w:rPr>
          <w:rFonts w:ascii="Times New Roman" w:hAnsi="Times New Roman" w:cs="Times New Roman"/>
          <w:sz w:val="20"/>
          <w:szCs w:val="24"/>
          <w:vertAlign w:val="superscript"/>
          <w:lang w:val="en-GB"/>
        </w:rPr>
        <w:t>2</w:t>
      </w:r>
      <w:r w:rsidRPr="00D51FCD">
        <w:rPr>
          <w:rFonts w:ascii="Times New Roman" w:hAnsi="Times New Roman" w:cs="Times New Roman"/>
          <w:color w:val="0A0A0A"/>
          <w:sz w:val="20"/>
          <w:szCs w:val="24"/>
          <w:lang w:val="en-US"/>
        </w:rPr>
        <w:t xml:space="preserve">Research Centre for Nano-materials and Energy Technology, School of Science and Technology, Sunway University, No. </w:t>
      </w:r>
      <w:r w:rsidRPr="00D51FCD">
        <w:rPr>
          <w:rFonts w:ascii="Times New Roman" w:hAnsi="Times New Roman" w:cs="Times New Roman"/>
          <w:color w:val="222222"/>
          <w:sz w:val="20"/>
          <w:szCs w:val="24"/>
          <w:lang w:val="en-US"/>
        </w:rPr>
        <w:t>5, Jalan Universiti, Bandar Sunway, 47500 Subang Jaya, Selangor, Malaysia</w:t>
      </w:r>
    </w:p>
    <w:p w:rsidR="00A662CD" w:rsidRPr="00D51FCD" w:rsidRDefault="00A662CD" w:rsidP="00A662CD">
      <w:pPr>
        <w:pStyle w:val="IEEEAuthorAffiliation"/>
        <w:spacing w:after="0"/>
        <w:rPr>
          <w:rFonts w:asciiTheme="majorBidi" w:hAnsiTheme="majorBidi" w:cstheme="majorBidi"/>
          <w:lang w:bidi="fa-IR"/>
        </w:rPr>
      </w:pPr>
      <w:r w:rsidRPr="00D51FCD">
        <w:rPr>
          <w:i w:val="0"/>
          <w:vertAlign w:val="superscript"/>
        </w:rPr>
        <w:t>3</w:t>
      </w:r>
      <w:r w:rsidRPr="00D51FCD">
        <w:rPr>
          <w:rFonts w:asciiTheme="majorBidi" w:hAnsiTheme="majorBidi" w:cstheme="majorBidi"/>
          <w:lang w:bidi="fa-IR"/>
        </w:rPr>
        <w:t>Research and Development, Apar Industries Limited, Mumbai, India</w:t>
      </w:r>
    </w:p>
    <w:p w:rsidR="00441283" w:rsidRPr="00D51FCD" w:rsidRDefault="00B31907" w:rsidP="001C115B">
      <w:pPr>
        <w:pStyle w:val="NoSpacing"/>
        <w:jc w:val="center"/>
        <w:rPr>
          <w:rFonts w:ascii="Times New Roman" w:hAnsi="Times New Roman" w:cs="Times New Roman"/>
          <w:sz w:val="20"/>
          <w:szCs w:val="24"/>
        </w:rPr>
      </w:pPr>
      <w:r w:rsidRPr="00D51FCD">
        <w:rPr>
          <w:rFonts w:ascii="Times New Roman" w:hAnsi="Times New Roman" w:cs="Times New Roman"/>
          <w:sz w:val="20"/>
          <w:szCs w:val="24"/>
          <w:vertAlign w:val="superscript"/>
        </w:rPr>
        <w:t>4</w:t>
      </w:r>
      <w:r w:rsidR="00441283" w:rsidRPr="00D51FCD">
        <w:rPr>
          <w:rFonts w:ascii="Times New Roman" w:hAnsi="Times New Roman" w:cs="Times New Roman"/>
          <w:sz w:val="20"/>
          <w:szCs w:val="24"/>
        </w:rPr>
        <w:t>University Kebangsaan Malaysia, Bangi, 43600 Selangor, Malaysia</w:t>
      </w:r>
    </w:p>
    <w:p w:rsidR="00441283" w:rsidRPr="00D51FCD" w:rsidRDefault="00441283" w:rsidP="001C115B">
      <w:pPr>
        <w:pStyle w:val="JESTECAffiliation"/>
        <w:rPr>
          <w:rFonts w:asciiTheme="majorBidi" w:hAnsiTheme="majorBidi" w:cstheme="majorBidi"/>
          <w:sz w:val="20"/>
          <w:lang w:val="en-AU"/>
        </w:rPr>
      </w:pPr>
    </w:p>
    <w:p w:rsidR="00441283" w:rsidRPr="00D51FCD" w:rsidRDefault="00441283" w:rsidP="001C115B">
      <w:pPr>
        <w:pStyle w:val="IEEEAuthorAffiliation"/>
        <w:ind w:left="720"/>
        <w:rPr>
          <w:i w:val="0"/>
          <w:iCs/>
        </w:rPr>
      </w:pPr>
      <w:r w:rsidRPr="00D51FCD">
        <w:rPr>
          <w:i w:val="0"/>
          <w:iCs/>
          <w:vertAlign w:val="superscript"/>
        </w:rPr>
        <w:t>*</w:t>
      </w:r>
      <w:r w:rsidRPr="00D51FCD">
        <w:rPr>
          <w:i w:val="0"/>
          <w:iCs/>
        </w:rPr>
        <w:t>rashmi.walvekar@gmail.com</w:t>
      </w:r>
    </w:p>
    <w:p w:rsidR="00682939" w:rsidRPr="00D51FCD" w:rsidRDefault="00682939" w:rsidP="001C115B">
      <w:pPr>
        <w:spacing w:line="240" w:lineRule="auto"/>
        <w:jc w:val="center"/>
        <w:rPr>
          <w:rFonts w:ascii="Times New Roman" w:hAnsi="Times New Roman" w:cs="Times New Roman"/>
          <w:sz w:val="34"/>
          <w:szCs w:val="34"/>
        </w:rPr>
      </w:pPr>
    </w:p>
    <w:p w:rsidR="001D157F" w:rsidRPr="00D51FCD" w:rsidRDefault="00EB108C" w:rsidP="001D157F">
      <w:pPr>
        <w:spacing w:line="240" w:lineRule="auto"/>
        <w:rPr>
          <w:rFonts w:ascii="Times New Roman" w:hAnsi="Times New Roman" w:cs="Times New Roman"/>
          <w:b/>
          <w:sz w:val="24"/>
          <w:szCs w:val="24"/>
        </w:rPr>
      </w:pPr>
      <w:r w:rsidRPr="00D51FCD">
        <w:rPr>
          <w:rFonts w:ascii="Times New Roman" w:hAnsi="Times New Roman" w:cs="Times New Roman"/>
          <w:b/>
          <w:sz w:val="24"/>
          <w:szCs w:val="24"/>
        </w:rPr>
        <w:t>Abstract</w:t>
      </w:r>
    </w:p>
    <w:p w:rsidR="001D157F" w:rsidRPr="00D51FCD" w:rsidRDefault="001D157F" w:rsidP="001D157F">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t>Lubrication is an important aspect when it comes to machinery and equipment in the indu</w:t>
      </w:r>
      <w:r w:rsidR="00A662CD" w:rsidRPr="00D51FCD">
        <w:rPr>
          <w:rFonts w:ascii="Times New Roman" w:hAnsi="Times New Roman" w:cs="Times New Roman"/>
          <w:sz w:val="24"/>
          <w:szCs w:val="24"/>
        </w:rPr>
        <w:t>stry where nanolubricants are</w:t>
      </w:r>
      <w:r w:rsidRPr="00D51FCD">
        <w:rPr>
          <w:rFonts w:ascii="Times New Roman" w:hAnsi="Times New Roman" w:cs="Times New Roman"/>
          <w:sz w:val="24"/>
          <w:szCs w:val="24"/>
        </w:rPr>
        <w:t xml:space="preserve"> extensively being explored as the future of </w:t>
      </w:r>
      <w:r w:rsidR="006A3C5A" w:rsidRPr="00D51FCD">
        <w:rPr>
          <w:rFonts w:ascii="Times New Roman" w:hAnsi="Times New Roman" w:cs="Times New Roman"/>
          <w:sz w:val="24"/>
          <w:szCs w:val="24"/>
        </w:rPr>
        <w:t>lubricants</w:t>
      </w:r>
      <w:r w:rsidRPr="00D51FCD">
        <w:rPr>
          <w:rFonts w:ascii="Times New Roman" w:hAnsi="Times New Roman" w:cs="Times New Roman"/>
          <w:sz w:val="24"/>
          <w:szCs w:val="24"/>
        </w:rPr>
        <w:t xml:space="preserve">. Nanolubricants are </w:t>
      </w:r>
      <w:r w:rsidR="00D773D4" w:rsidRPr="00D51FCD">
        <w:rPr>
          <w:rFonts w:ascii="Times New Roman" w:hAnsi="Times New Roman" w:cs="Times New Roman"/>
          <w:sz w:val="24"/>
          <w:szCs w:val="24"/>
        </w:rPr>
        <w:t>new-engineered</w:t>
      </w:r>
      <w:r w:rsidRPr="00D51FCD">
        <w:rPr>
          <w:rFonts w:ascii="Times New Roman" w:hAnsi="Times New Roman" w:cs="Times New Roman"/>
          <w:sz w:val="24"/>
          <w:szCs w:val="24"/>
        </w:rPr>
        <w:t xml:space="preserve"> fluid</w:t>
      </w:r>
      <w:r w:rsidR="006A3C5A" w:rsidRPr="00D51FCD">
        <w:rPr>
          <w:rFonts w:ascii="Times New Roman" w:hAnsi="Times New Roman" w:cs="Times New Roman"/>
          <w:sz w:val="24"/>
          <w:szCs w:val="24"/>
        </w:rPr>
        <w:t>s</w:t>
      </w:r>
      <w:r w:rsidR="00D773D4" w:rsidRPr="00D51FCD">
        <w:rPr>
          <w:rFonts w:ascii="Times New Roman" w:hAnsi="Times New Roman" w:cs="Times New Roman"/>
          <w:sz w:val="24"/>
          <w:szCs w:val="24"/>
        </w:rPr>
        <w:t>,</w:t>
      </w:r>
      <w:r w:rsidRPr="00D51FCD">
        <w:rPr>
          <w:rFonts w:ascii="Times New Roman" w:hAnsi="Times New Roman" w:cs="Times New Roman"/>
          <w:sz w:val="24"/>
          <w:szCs w:val="24"/>
        </w:rPr>
        <w:t xml:space="preserve"> which are di</w:t>
      </w:r>
      <w:r w:rsidR="00D773D4" w:rsidRPr="00D51FCD">
        <w:rPr>
          <w:rFonts w:ascii="Times New Roman" w:hAnsi="Times New Roman" w:cs="Times New Roman"/>
          <w:sz w:val="24"/>
          <w:szCs w:val="24"/>
        </w:rPr>
        <w:t>spersed with nanoparticles that</w:t>
      </w:r>
      <w:r w:rsidRPr="00D51FCD">
        <w:rPr>
          <w:rFonts w:ascii="Times New Roman" w:hAnsi="Times New Roman" w:cs="Times New Roman"/>
          <w:sz w:val="24"/>
          <w:szCs w:val="24"/>
        </w:rPr>
        <w:t xml:space="preserve"> aids </w:t>
      </w:r>
      <w:r w:rsidR="006A3C5A" w:rsidRPr="00D51FCD">
        <w:rPr>
          <w:rFonts w:ascii="Times New Roman" w:hAnsi="Times New Roman" w:cs="Times New Roman"/>
          <w:sz w:val="24"/>
          <w:szCs w:val="24"/>
        </w:rPr>
        <w:t xml:space="preserve">in </w:t>
      </w:r>
      <w:r w:rsidRPr="00D51FCD">
        <w:rPr>
          <w:rFonts w:ascii="Times New Roman" w:hAnsi="Times New Roman" w:cs="Times New Roman"/>
          <w:sz w:val="24"/>
          <w:szCs w:val="24"/>
        </w:rPr>
        <w:t xml:space="preserve">the interface movement </w:t>
      </w:r>
      <w:r w:rsidR="006A3C5A" w:rsidRPr="00D51FCD">
        <w:rPr>
          <w:rFonts w:ascii="Times New Roman" w:hAnsi="Times New Roman" w:cs="Times New Roman"/>
          <w:sz w:val="24"/>
          <w:szCs w:val="24"/>
        </w:rPr>
        <w:t>by</w:t>
      </w:r>
      <w:r w:rsidRPr="00D51FCD">
        <w:rPr>
          <w:rFonts w:ascii="Times New Roman" w:hAnsi="Times New Roman" w:cs="Times New Roman"/>
          <w:sz w:val="24"/>
          <w:szCs w:val="24"/>
        </w:rPr>
        <w:t xml:space="preserve"> forming a protective layer </w:t>
      </w:r>
      <w:r w:rsidR="006A3C5A" w:rsidRPr="00D51FCD">
        <w:rPr>
          <w:rFonts w:ascii="Times New Roman" w:hAnsi="Times New Roman" w:cs="Times New Roman"/>
          <w:sz w:val="24"/>
          <w:szCs w:val="24"/>
        </w:rPr>
        <w:t>hence reducing the</w:t>
      </w:r>
      <w:r w:rsidRPr="00D51FCD">
        <w:rPr>
          <w:rFonts w:ascii="Times New Roman" w:hAnsi="Times New Roman" w:cs="Times New Roman"/>
          <w:sz w:val="24"/>
          <w:szCs w:val="24"/>
        </w:rPr>
        <w:t xml:space="preserve"> wear and friction</w:t>
      </w:r>
      <w:r w:rsidR="00D773D4" w:rsidRPr="00D51FCD">
        <w:rPr>
          <w:rFonts w:ascii="Times New Roman" w:hAnsi="Times New Roman" w:cs="Times New Roman"/>
          <w:sz w:val="24"/>
          <w:szCs w:val="24"/>
        </w:rPr>
        <w:t xml:space="preserve"> and dissipate the heat generated due to friction</w:t>
      </w:r>
      <w:r w:rsidRPr="00D51FCD">
        <w:rPr>
          <w:rFonts w:ascii="Times New Roman" w:hAnsi="Times New Roman" w:cs="Times New Roman"/>
          <w:sz w:val="24"/>
          <w:szCs w:val="24"/>
        </w:rPr>
        <w:t xml:space="preserve">. In this research, </w:t>
      </w:r>
      <w:r w:rsidR="00C8505C" w:rsidRPr="00D51FCD">
        <w:rPr>
          <w:rFonts w:ascii="Times New Roman" w:hAnsi="Times New Roman" w:cs="Times New Roman"/>
          <w:sz w:val="24"/>
          <w:szCs w:val="24"/>
        </w:rPr>
        <w:t>a new synthetic lubricant is formulated by mixing two or more components of hydrogen bond donors and halide salt that achieves lower melting points compared to individual components. In this study,</w:t>
      </w:r>
      <w:r w:rsidRPr="00D51FCD">
        <w:rPr>
          <w:rFonts w:ascii="Times New Roman" w:hAnsi="Times New Roman" w:cs="Times New Roman"/>
          <w:sz w:val="24"/>
          <w:szCs w:val="24"/>
        </w:rPr>
        <w:t xml:space="preserve"> Glycerol and Polyethylene Glycol 600 (PEG) acts</w:t>
      </w:r>
      <w:r w:rsidR="00C8505C" w:rsidRPr="00D51FCD">
        <w:rPr>
          <w:rFonts w:ascii="Times New Roman" w:hAnsi="Times New Roman" w:cs="Times New Roman"/>
          <w:sz w:val="24"/>
          <w:szCs w:val="24"/>
        </w:rPr>
        <w:t xml:space="preserve"> as the HBDs with common salt of</w:t>
      </w:r>
      <w:r w:rsidRPr="00D51FCD">
        <w:rPr>
          <w:rFonts w:ascii="Times New Roman" w:hAnsi="Times New Roman" w:cs="Times New Roman"/>
          <w:sz w:val="24"/>
          <w:szCs w:val="24"/>
        </w:rPr>
        <w:t xml:space="preserve"> Choline Chloride (ChCl). The nanolubricants were </w:t>
      </w:r>
      <w:r w:rsidR="00D773D4" w:rsidRPr="00D51FCD">
        <w:rPr>
          <w:rFonts w:ascii="Times New Roman" w:hAnsi="Times New Roman" w:cs="Times New Roman"/>
          <w:sz w:val="24"/>
          <w:szCs w:val="24"/>
        </w:rPr>
        <w:t>synthesised via two-</w:t>
      </w:r>
      <w:r w:rsidR="00132946" w:rsidRPr="00D51FCD">
        <w:rPr>
          <w:rFonts w:ascii="Times New Roman" w:hAnsi="Times New Roman" w:cs="Times New Roman"/>
          <w:sz w:val="24"/>
          <w:szCs w:val="24"/>
        </w:rPr>
        <w:t>step method by dispersing</w:t>
      </w:r>
      <w:r w:rsidRPr="00D51FCD">
        <w:rPr>
          <w:rFonts w:ascii="Times New Roman" w:hAnsi="Times New Roman" w:cs="Times New Roman"/>
          <w:sz w:val="24"/>
          <w:szCs w:val="24"/>
        </w:rPr>
        <w:t xml:space="preserve"> three different concentration of Functionalised Multi Walled Carbon Nanotubes (F-MWCNTs) of 0.01 wt%, 0.05 wt% and 0.10 wt% </w:t>
      </w:r>
      <w:r w:rsidR="00132946" w:rsidRPr="00D51FCD">
        <w:rPr>
          <w:rFonts w:ascii="Times New Roman" w:hAnsi="Times New Roman" w:cs="Times New Roman"/>
          <w:sz w:val="24"/>
          <w:szCs w:val="24"/>
        </w:rPr>
        <w:t xml:space="preserve">with the aid of ultrasonication. The stability of the suspensions were studied via optical microscopy and visual observation. </w:t>
      </w:r>
      <w:r w:rsidRPr="00D51FCD">
        <w:rPr>
          <w:rFonts w:ascii="Times New Roman" w:hAnsi="Times New Roman" w:cs="Times New Roman"/>
          <w:sz w:val="24"/>
          <w:szCs w:val="24"/>
        </w:rPr>
        <w:t xml:space="preserve"> The addition of F-MWCNT increased the resultant dynamic viscosity of the nanolubricant whereas the density was not much affected. Besides that, thermal conductivity showed positive enhancement for glycerol DES nanolubricant and negative enhancement for PEG DES nanolubricant. Thus, this study concludes that the thermophysical properties of DES base fluids and MWCNT have potential to be used as lubricants due to its enhanced physical properties. </w:t>
      </w:r>
    </w:p>
    <w:p w:rsidR="00682939" w:rsidRPr="00D51FCD" w:rsidRDefault="00682939" w:rsidP="001C115B">
      <w:pPr>
        <w:spacing w:line="240" w:lineRule="auto"/>
        <w:jc w:val="center"/>
        <w:rPr>
          <w:rFonts w:ascii="Times New Roman" w:hAnsi="Times New Roman" w:cs="Times New Roman"/>
          <w:sz w:val="34"/>
          <w:szCs w:val="34"/>
        </w:rPr>
      </w:pPr>
    </w:p>
    <w:p w:rsidR="00682939" w:rsidRPr="00D51FCD" w:rsidRDefault="001D157F" w:rsidP="000A10BE">
      <w:pPr>
        <w:spacing w:line="240" w:lineRule="auto"/>
        <w:rPr>
          <w:rFonts w:ascii="Times New Roman" w:hAnsi="Times New Roman" w:cs="Times New Roman"/>
          <w:sz w:val="34"/>
          <w:szCs w:val="34"/>
        </w:rPr>
      </w:pPr>
      <w:r w:rsidRPr="00D51FCD">
        <w:rPr>
          <w:rFonts w:ascii="Times New Roman" w:hAnsi="Times New Roman" w:cs="Times New Roman"/>
          <w:b/>
          <w:sz w:val="24"/>
          <w:szCs w:val="24"/>
        </w:rPr>
        <w:t xml:space="preserve">Keywords: </w:t>
      </w:r>
      <w:r w:rsidRPr="00D51FCD">
        <w:rPr>
          <w:rFonts w:ascii="Times New Roman" w:hAnsi="Times New Roman" w:cs="Times New Roman"/>
          <w:sz w:val="24"/>
          <w:szCs w:val="24"/>
        </w:rPr>
        <w:t>Deep Eutectic Solvent</w:t>
      </w:r>
      <w:r w:rsidR="000A10BE" w:rsidRPr="00D51FCD">
        <w:rPr>
          <w:rFonts w:ascii="Times New Roman" w:hAnsi="Times New Roman" w:cs="Times New Roman"/>
          <w:sz w:val="24"/>
          <w:szCs w:val="24"/>
        </w:rPr>
        <w:t>;</w:t>
      </w:r>
      <w:r w:rsidRPr="00D51FCD">
        <w:rPr>
          <w:rFonts w:ascii="Times New Roman" w:hAnsi="Times New Roman" w:cs="Times New Roman"/>
          <w:sz w:val="24"/>
          <w:szCs w:val="24"/>
        </w:rPr>
        <w:t xml:space="preserve"> Carbon Nanotube</w:t>
      </w:r>
      <w:r w:rsidR="000A10BE" w:rsidRPr="00D51FCD">
        <w:rPr>
          <w:rFonts w:ascii="Times New Roman" w:hAnsi="Times New Roman" w:cs="Times New Roman"/>
          <w:sz w:val="24"/>
          <w:szCs w:val="24"/>
        </w:rPr>
        <w:t>;</w:t>
      </w:r>
      <w:r w:rsidRPr="00D51FCD">
        <w:rPr>
          <w:rFonts w:ascii="Times New Roman" w:hAnsi="Times New Roman" w:cs="Times New Roman"/>
          <w:sz w:val="24"/>
          <w:szCs w:val="24"/>
        </w:rPr>
        <w:t xml:space="preserve"> Nanolubricant</w:t>
      </w:r>
      <w:r w:rsidR="000A10BE" w:rsidRPr="00D51FCD">
        <w:rPr>
          <w:rFonts w:ascii="Times New Roman" w:hAnsi="Times New Roman" w:cs="Times New Roman"/>
          <w:sz w:val="24"/>
          <w:szCs w:val="24"/>
        </w:rPr>
        <w:t xml:space="preserve">; Viscosity; Thermal </w:t>
      </w:r>
      <w:r w:rsidR="000A10BE" w:rsidRPr="00D51FCD">
        <w:rPr>
          <w:rFonts w:ascii="Times New Roman" w:hAnsi="Times New Roman" w:cs="Times New Roman"/>
          <w:sz w:val="24"/>
          <w:szCs w:val="24"/>
        </w:rPr>
        <w:tab/>
        <w:t xml:space="preserve">       Conductivity.</w:t>
      </w:r>
    </w:p>
    <w:p w:rsidR="00441283" w:rsidRPr="00D51FCD" w:rsidRDefault="00441283" w:rsidP="001C115B">
      <w:pPr>
        <w:spacing w:line="240" w:lineRule="auto"/>
        <w:rPr>
          <w:rFonts w:ascii="Times New Roman" w:hAnsi="Times New Roman" w:cs="Times New Roman"/>
          <w:b/>
          <w:sz w:val="24"/>
          <w:szCs w:val="24"/>
        </w:rPr>
      </w:pPr>
    </w:p>
    <w:p w:rsidR="005160F4" w:rsidRPr="00D51FCD" w:rsidRDefault="005160F4" w:rsidP="001C115B">
      <w:pPr>
        <w:spacing w:line="240" w:lineRule="auto"/>
        <w:rPr>
          <w:rFonts w:ascii="Times New Roman" w:hAnsi="Times New Roman" w:cs="Times New Roman"/>
          <w:b/>
          <w:sz w:val="24"/>
          <w:szCs w:val="24"/>
        </w:rPr>
      </w:pPr>
    </w:p>
    <w:p w:rsidR="008E3B4F" w:rsidRPr="00D51FCD" w:rsidRDefault="00682939" w:rsidP="001C115B">
      <w:pPr>
        <w:spacing w:line="240" w:lineRule="auto"/>
        <w:rPr>
          <w:rFonts w:ascii="Times New Roman" w:hAnsi="Times New Roman" w:cs="Times New Roman"/>
          <w:b/>
          <w:sz w:val="24"/>
          <w:szCs w:val="24"/>
        </w:rPr>
      </w:pPr>
      <w:r w:rsidRPr="00D51FCD">
        <w:rPr>
          <w:rFonts w:ascii="Times New Roman" w:hAnsi="Times New Roman" w:cs="Times New Roman"/>
          <w:b/>
          <w:sz w:val="24"/>
          <w:szCs w:val="24"/>
        </w:rPr>
        <w:t>1. Introduction</w:t>
      </w:r>
    </w:p>
    <w:p w:rsidR="005E1495" w:rsidRPr="00D51FCD" w:rsidRDefault="005E1495" w:rsidP="00B31907">
      <w:pPr>
        <w:spacing w:after="0" w:line="240" w:lineRule="auto"/>
        <w:jc w:val="both"/>
        <w:rPr>
          <w:rStyle w:val="selectable"/>
          <w:rFonts w:ascii="Times New Roman" w:eastAsia="Times New Roman" w:hAnsi="Times New Roman" w:cs="Times New Roman"/>
          <w:noProof/>
          <w:color w:val="000000"/>
          <w:sz w:val="24"/>
          <w:szCs w:val="24"/>
          <w:lang w:eastAsia="en-MY"/>
        </w:rPr>
      </w:pPr>
      <w:r w:rsidRPr="00D51FCD">
        <w:rPr>
          <w:rFonts w:ascii="Times New Roman" w:hAnsi="Times New Roman" w:cs="Times New Roman"/>
          <w:sz w:val="24"/>
          <w:szCs w:val="24"/>
        </w:rPr>
        <w:t>Lubricants are used to reduce fri</w:t>
      </w:r>
      <w:r w:rsidR="00D6538E" w:rsidRPr="00D51FCD">
        <w:rPr>
          <w:rFonts w:ascii="Times New Roman" w:hAnsi="Times New Roman" w:cs="Times New Roman"/>
          <w:sz w:val="24"/>
          <w:szCs w:val="24"/>
        </w:rPr>
        <w:t>ction and wear of moving parts that</w:t>
      </w:r>
      <w:r w:rsidRPr="00D51FCD">
        <w:rPr>
          <w:rFonts w:ascii="Times New Roman" w:hAnsi="Times New Roman" w:cs="Times New Roman"/>
          <w:sz w:val="24"/>
          <w:szCs w:val="24"/>
        </w:rPr>
        <w:t xml:space="preserve"> covers a wide range of industrial applications. The various applications include engine oil, automatic transmission fluid, turbines, c</w:t>
      </w:r>
      <w:r w:rsidR="00132946" w:rsidRPr="00D51FCD">
        <w:rPr>
          <w:rFonts w:ascii="Times New Roman" w:hAnsi="Times New Roman" w:cs="Times New Roman"/>
          <w:sz w:val="24"/>
          <w:szCs w:val="24"/>
        </w:rPr>
        <w:t>ompressors, pumps, metalworking and</w:t>
      </w:r>
      <w:r w:rsidRPr="00D51FCD">
        <w:rPr>
          <w:rFonts w:ascii="Times New Roman" w:hAnsi="Times New Roman" w:cs="Times New Roman"/>
          <w:sz w:val="24"/>
          <w:szCs w:val="24"/>
        </w:rPr>
        <w:t xml:space="preserve"> hydraulics</w:t>
      </w:r>
      <w:r w:rsidR="00132946" w:rsidRPr="00D51FCD">
        <w:rPr>
          <w:rFonts w:ascii="Times New Roman" w:hAnsi="Times New Roman" w:cs="Times New Roman"/>
          <w:sz w:val="24"/>
          <w:szCs w:val="24"/>
        </w:rPr>
        <w:t>. H</w:t>
      </w:r>
      <w:r w:rsidRPr="00D51FCD">
        <w:rPr>
          <w:rFonts w:ascii="Times New Roman" w:hAnsi="Times New Roman" w:cs="Times New Roman"/>
          <w:sz w:val="24"/>
          <w:szCs w:val="24"/>
        </w:rPr>
        <w:t xml:space="preserve">owever, the chemical </w:t>
      </w:r>
      <w:r w:rsidR="00132946" w:rsidRPr="00D51FCD">
        <w:rPr>
          <w:rFonts w:ascii="Times New Roman" w:hAnsi="Times New Roman" w:cs="Times New Roman"/>
          <w:sz w:val="24"/>
          <w:szCs w:val="24"/>
        </w:rPr>
        <w:t xml:space="preserve">composition </w:t>
      </w:r>
      <w:r w:rsidRPr="00D51FCD">
        <w:rPr>
          <w:rFonts w:ascii="Times New Roman" w:hAnsi="Times New Roman" w:cs="Times New Roman"/>
          <w:sz w:val="24"/>
          <w:szCs w:val="24"/>
        </w:rPr>
        <w:t>and physical structure of the lubricant depends on its application</w:t>
      </w:r>
      <w:r w:rsidR="006220FE" w:rsidRPr="00D51FCD">
        <w:rPr>
          <w:rFonts w:ascii="Times New Roman" w:hAnsi="Times New Roman" w:cs="Times New Roman"/>
          <w:sz w:val="24"/>
          <w:szCs w:val="24"/>
        </w:rPr>
        <w:t xml:space="preserve"> </w:t>
      </w:r>
      <w:r w:rsidR="006220FE" w:rsidRPr="00D51FCD">
        <w:rPr>
          <w:rFonts w:ascii="Times New Roman" w:hAnsi="Times New Roman" w:cs="Times New Roman"/>
          <w:sz w:val="24"/>
          <w:szCs w:val="24"/>
        </w:rPr>
        <w:fldChar w:fldCharType="begin" w:fldLock="1"/>
      </w:r>
      <w:r w:rsidR="006220FE" w:rsidRPr="00D51FCD">
        <w:rPr>
          <w:rFonts w:ascii="Times New Roman" w:hAnsi="Times New Roman" w:cs="Times New Roman"/>
          <w:sz w:val="24"/>
          <w:szCs w:val="24"/>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"Mortier", "given" : "R.", "non-dropping-particle" : "", "parse-names" : false, "suffix" : "" }, { "dropping-particle" : "", "family" : "Fox", "given" : "M.", "non-dropping-particle" : "", "parse-names" : false, "suffix" : "" }, { "dropping-particle" : "", "family" : "Orszulik", "given" : "S", "non-dropping-particle" : "", "parse-names" : false, "suffix" : "" } ], "container-title" : "Springer", "id" : "ITEM-1", "issued" : { "date-parts" : [ [ "2010" ] ] }, "number-of-pages" : "1689-1699", "publisher" : "Springer", "publisher-place" : "Dordrecht", "title" : "Chemistry and technology of lubricants", "type" : "book", "volume" : "53" }, "uris" : [ "http://www.mendeley.com/documents/?uuid=e492e0df-3007-43f3-b523-6caae46c1632" ] } ], "mendeley" : { "formattedCitation" : "[1]", "plainTextFormattedCitation" : "[1]", "previouslyFormattedCitation" : "[1]" }, "properties" : { "noteIndex" : 0 }, "schema" : "https://github.com/citation-style-language/schema/raw/master/csl-citation.json" }</w:instrText>
      </w:r>
      <w:r w:rsidR="006220FE" w:rsidRPr="00D51FCD">
        <w:rPr>
          <w:rFonts w:ascii="Times New Roman" w:hAnsi="Times New Roman" w:cs="Times New Roman"/>
          <w:sz w:val="24"/>
          <w:szCs w:val="24"/>
        </w:rPr>
        <w:fldChar w:fldCharType="separate"/>
      </w:r>
      <w:r w:rsidR="006220FE" w:rsidRPr="00D51FCD">
        <w:rPr>
          <w:rFonts w:ascii="Times New Roman" w:hAnsi="Times New Roman" w:cs="Times New Roman"/>
          <w:noProof/>
          <w:sz w:val="24"/>
          <w:szCs w:val="24"/>
        </w:rPr>
        <w:t>[1]</w:t>
      </w:r>
      <w:r w:rsidR="006220FE" w:rsidRPr="00D51FCD">
        <w:rPr>
          <w:rFonts w:ascii="Times New Roman" w:hAnsi="Times New Roman" w:cs="Times New Roman"/>
          <w:sz w:val="24"/>
          <w:szCs w:val="24"/>
        </w:rPr>
        <w:fldChar w:fldCharType="end"/>
      </w:r>
      <w:r w:rsidR="006220FE" w:rsidRPr="00D51FCD">
        <w:rPr>
          <w:rFonts w:ascii="Times New Roman" w:hAnsi="Times New Roman" w:cs="Times New Roman"/>
          <w:sz w:val="24"/>
          <w:szCs w:val="24"/>
        </w:rPr>
        <w:t xml:space="preserve">. </w:t>
      </w:r>
      <w:r w:rsidRPr="00D51FCD">
        <w:rPr>
          <w:rFonts w:ascii="Times New Roman" w:hAnsi="Times New Roman" w:cs="Times New Roman"/>
          <w:sz w:val="24"/>
          <w:szCs w:val="24"/>
        </w:rPr>
        <w:t xml:space="preserve">Lubricant forms a protective layer on the surface consisting of either gas, liquid or solid which reduces the friction thus preventing any damage to the surface </w:t>
      </w:r>
      <w:r w:rsidRPr="00D51FCD">
        <w:rPr>
          <w:rFonts w:ascii="Times New Roman" w:hAnsi="Times New Roman" w:cs="Times New Roman"/>
          <w:sz w:val="24"/>
          <w:szCs w:val="24"/>
        </w:rPr>
        <w:fldChar w:fldCharType="begin" w:fldLock="1"/>
      </w:r>
      <w:r w:rsidR="006220FE" w:rsidRPr="00D51FCD">
        <w:rPr>
          <w:rFonts w:ascii="Times New Roman" w:hAnsi="Times New Roman" w:cs="Times New Roman"/>
          <w:sz w:val="24"/>
          <w:szCs w:val="24"/>
        </w:rPr>
        <w:instrText>ADDIN CSL_CITATION { "citationItems" : [ { "id" : "ITEM-1", "itemData" : { "author" : [ { "dropping-particle" : "", "family" : "Stachowiak", "given" : "Gwidon W.", "non-dropping-particle" : "", "parse-names" : false, "suffix" : "" }, { "dropping-particle" : "", "family" : "Batchelor", "given" : "Andrew W.", "non-dropping-particle" : "", "parse-names" : false, "suffix" : "" } ], "container-title" : "Elsiever Butterworth-Heinemann", "id" : "ITEM-1", "issued" : { "date-parts" : [ [ "2005" ] ] }, "publisher" : "Elsevier", "publisher-place" : "Amsterdam", "title" : "E n g i n e e r i n g t r i b o l o g y", "type" : "book" }, "uris" : [ "http://www.mendeley.com/documents/?uuid=12ef0e5b-a7b5-4cea-8742-d53bf14721a5" ] } ], "mendeley" : { "formattedCitation" : "[2]", "plainTextFormattedCitation" : "[2]", "previouslyFormattedCitation" : "[2]"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006220FE" w:rsidRPr="00D51FCD">
        <w:rPr>
          <w:rFonts w:ascii="Times New Roman" w:hAnsi="Times New Roman" w:cs="Times New Roman"/>
          <w:noProof/>
          <w:sz w:val="24"/>
          <w:szCs w:val="24"/>
        </w:rPr>
        <w:t>[2]</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A lubricant is characterised by good lubricity, low volatility, low fla</w:t>
      </w:r>
      <w:r w:rsidR="00D773D4" w:rsidRPr="00D51FCD">
        <w:rPr>
          <w:rFonts w:ascii="Times New Roman" w:hAnsi="Times New Roman" w:cs="Times New Roman"/>
          <w:sz w:val="24"/>
          <w:szCs w:val="24"/>
        </w:rPr>
        <w:t>sh point, non-flammability, non-</w:t>
      </w:r>
      <w:r w:rsidRPr="00D51FCD">
        <w:rPr>
          <w:rFonts w:ascii="Times New Roman" w:hAnsi="Times New Roman" w:cs="Times New Roman"/>
          <w:sz w:val="24"/>
          <w:szCs w:val="24"/>
        </w:rPr>
        <w:t>corrosivity and low cost. Besides that, it should also have appreciable viscosity to provide good lubrication for a range of operational temperatures. The lub</w:t>
      </w:r>
      <w:r w:rsidR="00D773D4" w:rsidRPr="00D51FCD">
        <w:rPr>
          <w:rFonts w:ascii="Times New Roman" w:hAnsi="Times New Roman" w:cs="Times New Roman"/>
          <w:sz w:val="24"/>
          <w:szCs w:val="24"/>
        </w:rPr>
        <w:t>ricant must possess good thermos-</w:t>
      </w:r>
      <w:r w:rsidRPr="00D51FCD">
        <w:rPr>
          <w:rFonts w:ascii="Times New Roman" w:hAnsi="Times New Roman" w:cs="Times New Roman"/>
          <w:sz w:val="24"/>
          <w:szCs w:val="24"/>
        </w:rPr>
        <w:t xml:space="preserve">oxidative and chemical </w:t>
      </w:r>
      <w:r w:rsidRPr="00D51FCD">
        <w:rPr>
          <w:rFonts w:ascii="Times New Roman" w:hAnsi="Times New Roman" w:cs="Times New Roman"/>
          <w:sz w:val="24"/>
          <w:szCs w:val="24"/>
        </w:rPr>
        <w:lastRenderedPageBreak/>
        <w:t xml:space="preserve">stability to prevent degradation during operation. The environmental aspect of lubricant should also be considered to prevent any harm to humans and the surroundings with low toxicity and high biodegradability </w:t>
      </w:r>
      <w:r w:rsidRPr="00D51FCD">
        <w:rPr>
          <w:rFonts w:ascii="Times New Roman" w:hAnsi="Times New Roman" w:cs="Times New Roman"/>
          <w:sz w:val="24"/>
          <w:szCs w:val="24"/>
        </w:rPr>
        <w:fldChar w:fldCharType="begin" w:fldLock="1"/>
      </w:r>
      <w:r w:rsidR="006220FE" w:rsidRPr="00D51FCD">
        <w:rPr>
          <w:rFonts w:ascii="Times New Roman" w:hAnsi="Times New Roman" w:cs="Times New Roman"/>
          <w:sz w:val="24"/>
          <w:szCs w:val="24"/>
        </w:rPr>
        <w:instrText>ADDIN CSL_CITATION { "citationItems" : [ { "id" : "ITEM-1", "itemData" : { "ISBN" : "0824705742", "author" : [ { "dropping-particle" : "", "family" : "Pirro", "given" : "Dm", "non-dropping-particle" : "", "parse-names" : false, "suffix" : "" } ], "container-title" : "Comprehensive Review of Lubricant Chemistry, Technology, Selection, and Design", "id" : "ITEM-1", "issued" : { "date-parts" : [ [ "2001" ] ] }, "page" : "1-22", "title" : "Lubrication Fundamentals", "type" : "chapter" }, "uris" : [ "http://www.mendeley.com/documents/?uuid=2d856cae-ef5b-47dc-bbc0-038c322858f0" ] } ], "mendeley" : { "formattedCitation" : "[3]", "plainTextFormattedCitation" : "[3]", "previouslyFormattedCitation" : "[3]"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006220FE" w:rsidRPr="00D51FCD">
        <w:rPr>
          <w:rFonts w:ascii="Times New Roman" w:hAnsi="Times New Roman" w:cs="Times New Roman"/>
          <w:noProof/>
          <w:sz w:val="24"/>
          <w:szCs w:val="24"/>
        </w:rPr>
        <w:t>[3]</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 </w:t>
      </w:r>
      <w:r w:rsidR="00AA7A94" w:rsidRPr="00D51FCD">
        <w:rPr>
          <w:rFonts w:ascii="Times New Roman" w:hAnsi="Times New Roman" w:cs="Times New Roman"/>
          <w:sz w:val="24"/>
          <w:szCs w:val="24"/>
        </w:rPr>
        <w:t xml:space="preserve">Various studies have been conducted using ionic liquids (ILs) for their lubricating properties. </w:t>
      </w:r>
      <w:r w:rsidR="000B2852" w:rsidRPr="00D51FCD">
        <w:rPr>
          <w:rFonts w:ascii="Times New Roman" w:hAnsi="Times New Roman" w:cs="Times New Roman"/>
          <w:sz w:val="24"/>
          <w:szCs w:val="24"/>
        </w:rPr>
        <w:t>Qu et al [4]</w:t>
      </w:r>
      <w:r w:rsidR="00AA7A94" w:rsidRPr="00D51FCD">
        <w:rPr>
          <w:rFonts w:ascii="Times New Roman" w:hAnsi="Times New Roman" w:cs="Times New Roman"/>
          <w:sz w:val="24"/>
          <w:szCs w:val="24"/>
        </w:rPr>
        <w:t xml:space="preserve">, used 1 wt% of </w:t>
      </w:r>
      <w:r w:rsidR="00AA7A94" w:rsidRPr="00D51FCD">
        <w:rPr>
          <w:rFonts w:ascii="Times New Roman" w:eastAsia="Times New Roman" w:hAnsi="Times New Roman" w:cs="Times New Roman"/>
          <w:color w:val="000000"/>
          <w:sz w:val="24"/>
          <w:szCs w:val="24"/>
          <w:lang w:eastAsia="en-MY"/>
        </w:rPr>
        <w:t>trihexyltetradecylphosphonium bis(2-ethylhexyl)phosphate</w:t>
      </w:r>
      <w:r w:rsidR="00AA7A94" w:rsidRPr="00D51FCD">
        <w:rPr>
          <w:rFonts w:ascii="Times New Roman" w:hAnsi="Times New Roman" w:cs="Times New Roman"/>
          <w:sz w:val="24"/>
          <w:szCs w:val="24"/>
        </w:rPr>
        <w:t xml:space="preserve"> added to the base oil </w:t>
      </w:r>
      <w:r w:rsidR="00AA7A94" w:rsidRPr="00D51FCD">
        <w:rPr>
          <w:rFonts w:ascii="Times New Roman" w:eastAsia="Times New Roman" w:hAnsi="Times New Roman" w:cs="Times New Roman"/>
          <w:color w:val="000000"/>
          <w:sz w:val="24"/>
          <w:szCs w:val="24"/>
          <w:lang w:eastAsia="en-MY"/>
        </w:rPr>
        <w:t xml:space="preserve">and compared with the zinc dialky-dithiophosphate additive (ZDDP). The results showed better performance at elevated temperatures (100⁰C) compared to ZDDP. </w:t>
      </w:r>
      <w:r w:rsidR="000B2852" w:rsidRPr="00D51FCD">
        <w:rPr>
          <w:rFonts w:ascii="Times New Roman" w:eastAsia="Times New Roman" w:hAnsi="Times New Roman" w:cs="Times New Roman"/>
          <w:noProof/>
          <w:color w:val="000000"/>
          <w:sz w:val="24"/>
          <w:szCs w:val="24"/>
          <w:lang w:eastAsia="en-MY"/>
        </w:rPr>
        <w:t>Khemchandani et al [5]</w:t>
      </w:r>
      <w:r w:rsidR="00AA7A94" w:rsidRPr="00D51FCD">
        <w:rPr>
          <w:rFonts w:ascii="Times New Roman" w:eastAsia="Times New Roman" w:hAnsi="Times New Roman" w:cs="Times New Roman"/>
          <w:noProof/>
          <w:color w:val="000000"/>
          <w:sz w:val="24"/>
          <w:szCs w:val="24"/>
          <w:lang w:eastAsia="en-MY"/>
        </w:rPr>
        <w:t xml:space="preserve"> used </w:t>
      </w:r>
      <w:r w:rsidR="00AA7A94" w:rsidRPr="00D51FCD">
        <w:rPr>
          <w:rFonts w:ascii="Times New Roman" w:eastAsia="Times New Roman" w:hAnsi="Times New Roman" w:cs="Times New Roman"/>
          <w:color w:val="000000"/>
          <w:sz w:val="24"/>
          <w:szCs w:val="24"/>
          <w:lang w:eastAsia="en-MY"/>
        </w:rPr>
        <w:t xml:space="preserve">tributyl(methyl)phosphonium diphenylphosphate, P1444DPP as antiwear additive anti-wear additive and compared against Amine Phosphate (AP) when mixed with biodegradable base stocks. Similarly tribological improvements were observed by </w:t>
      </w:r>
      <w:r w:rsidR="000B2852" w:rsidRPr="00D51FCD">
        <w:rPr>
          <w:rFonts w:ascii="Times New Roman" w:eastAsia="Times New Roman" w:hAnsi="Times New Roman" w:cs="Times New Roman"/>
          <w:noProof/>
          <w:color w:val="000000"/>
          <w:sz w:val="24"/>
          <w:szCs w:val="24"/>
          <w:lang w:eastAsia="en-MY"/>
        </w:rPr>
        <w:t>Fan &amp; Wang [6]</w:t>
      </w:r>
      <w:r w:rsidR="00AA7A94" w:rsidRPr="00D51FCD">
        <w:rPr>
          <w:rFonts w:ascii="Times New Roman" w:eastAsia="Times New Roman" w:hAnsi="Times New Roman" w:cs="Times New Roman"/>
          <w:noProof/>
          <w:color w:val="000000"/>
          <w:sz w:val="24"/>
          <w:szCs w:val="24"/>
          <w:lang w:eastAsia="en-MY"/>
        </w:rPr>
        <w:t xml:space="preserve"> using 0.75% MWCNT in </w:t>
      </w:r>
      <w:r w:rsidR="002237A3" w:rsidRPr="00D51FCD">
        <w:rPr>
          <w:rFonts w:ascii="Times New Roman" w:eastAsia="Times New Roman" w:hAnsi="Times New Roman" w:cs="Times New Roman"/>
          <w:color w:val="000000"/>
          <w:sz w:val="24"/>
          <w:szCs w:val="24"/>
          <w:lang w:eastAsia="en-MY"/>
        </w:rPr>
        <w:t xml:space="preserve">alkyl imidazolium </w:t>
      </w:r>
      <w:r w:rsidR="00AA7A94" w:rsidRPr="00D51FCD">
        <w:rPr>
          <w:rFonts w:ascii="Times New Roman" w:eastAsia="Times New Roman" w:hAnsi="Times New Roman" w:cs="Times New Roman"/>
          <w:noProof/>
          <w:color w:val="000000"/>
          <w:sz w:val="24"/>
          <w:szCs w:val="24"/>
          <w:lang w:eastAsia="en-MY"/>
        </w:rPr>
        <w:t>ILs.</w:t>
      </w:r>
      <w:r w:rsidR="002237A3" w:rsidRPr="00D51FCD">
        <w:rPr>
          <w:rFonts w:ascii="Times New Roman" w:eastAsia="Times New Roman" w:hAnsi="Times New Roman" w:cs="Times New Roman"/>
          <w:noProof/>
          <w:color w:val="000000"/>
          <w:sz w:val="24"/>
          <w:szCs w:val="24"/>
          <w:lang w:eastAsia="en-MY"/>
        </w:rPr>
        <w:t xml:space="preserve"> Other ILs explored that showed improved COF, wear and tribological performance are reported in the literature [</w:t>
      </w:r>
      <w:r w:rsidR="000B2852" w:rsidRPr="00D51FCD">
        <w:rPr>
          <w:rFonts w:ascii="Times New Roman" w:eastAsia="Times New Roman" w:hAnsi="Times New Roman" w:cs="Times New Roman"/>
          <w:noProof/>
          <w:color w:val="000000"/>
          <w:sz w:val="24"/>
          <w:szCs w:val="24"/>
          <w:lang w:eastAsia="en-MY"/>
        </w:rPr>
        <w:t>7-10</w:t>
      </w:r>
      <w:r w:rsidR="0099326C" w:rsidRPr="00D51FCD">
        <w:rPr>
          <w:rFonts w:ascii="Times New Roman" w:eastAsia="Times New Roman" w:hAnsi="Times New Roman" w:cs="Times New Roman"/>
          <w:noProof/>
          <w:color w:val="000000"/>
          <w:sz w:val="24"/>
          <w:szCs w:val="24"/>
          <w:lang w:eastAsia="en-MY"/>
        </w:rPr>
        <w:t xml:space="preserve"> ]. </w:t>
      </w:r>
      <w:r w:rsidR="00CA138B" w:rsidRPr="00D51FCD">
        <w:rPr>
          <w:rFonts w:ascii="Times New Roman" w:eastAsia="Times New Roman" w:hAnsi="Times New Roman" w:cs="Times New Roman"/>
          <w:noProof/>
          <w:color w:val="000000"/>
          <w:sz w:val="24"/>
          <w:szCs w:val="24"/>
          <w:lang w:eastAsia="en-MY"/>
        </w:rPr>
        <w:t xml:space="preserve">Due to the high cost, toxicity and complex synthesis process of ILs, deep eutectic solvents (DES) are being explored to replace the ILs. </w:t>
      </w:r>
      <w:r w:rsidRPr="00D51FCD">
        <w:rPr>
          <w:rStyle w:val="selectable"/>
          <w:rFonts w:ascii="Times New Roman" w:hAnsi="Times New Roman" w:cs="Times New Roman"/>
          <w:sz w:val="24"/>
          <w:szCs w:val="24"/>
        </w:rPr>
        <w:t xml:space="preserve">DESs which are made up of quaternary salt bounded with </w:t>
      </w:r>
      <w:r w:rsidR="0039407E" w:rsidRPr="00D51FCD">
        <w:rPr>
          <w:rStyle w:val="selectable"/>
          <w:rFonts w:ascii="Times New Roman" w:hAnsi="Times New Roman" w:cs="Times New Roman"/>
          <w:sz w:val="24"/>
          <w:szCs w:val="24"/>
        </w:rPr>
        <w:t xml:space="preserve">Hydrogen Bond Donor (HBD) </w:t>
      </w:r>
      <w:r w:rsidRPr="00D51FCD">
        <w:rPr>
          <w:rStyle w:val="selectable"/>
          <w:rFonts w:ascii="Times New Roman" w:hAnsi="Times New Roman" w:cs="Times New Roman"/>
          <w:sz w:val="24"/>
          <w:szCs w:val="24"/>
        </w:rPr>
        <w:t>has melting point lower than the individual component of the DES. DESs have similar properties as I</w:t>
      </w:r>
      <w:r w:rsidR="0039407E" w:rsidRPr="00D51FCD">
        <w:rPr>
          <w:rStyle w:val="selectable"/>
          <w:rFonts w:ascii="Times New Roman" w:hAnsi="Times New Roman" w:cs="Times New Roman"/>
          <w:sz w:val="24"/>
          <w:szCs w:val="24"/>
        </w:rPr>
        <w:t xml:space="preserve">onic </w:t>
      </w:r>
      <w:r w:rsidRPr="00D51FCD">
        <w:rPr>
          <w:rStyle w:val="selectable"/>
          <w:rFonts w:ascii="Times New Roman" w:hAnsi="Times New Roman" w:cs="Times New Roman"/>
          <w:sz w:val="24"/>
          <w:szCs w:val="24"/>
        </w:rPr>
        <w:t>L</w:t>
      </w:r>
      <w:r w:rsidR="0039407E" w:rsidRPr="00D51FCD">
        <w:rPr>
          <w:rStyle w:val="selectable"/>
          <w:rFonts w:ascii="Times New Roman" w:hAnsi="Times New Roman" w:cs="Times New Roman"/>
          <w:sz w:val="24"/>
          <w:szCs w:val="24"/>
        </w:rPr>
        <w:t>iquid</w:t>
      </w:r>
      <w:r w:rsidRPr="00D51FCD">
        <w:rPr>
          <w:rStyle w:val="selectable"/>
          <w:rFonts w:ascii="Times New Roman" w:hAnsi="Times New Roman" w:cs="Times New Roman"/>
          <w:sz w:val="24"/>
          <w:szCs w:val="24"/>
        </w:rPr>
        <w:t xml:space="preserve">s with more eco-friendly approach in term of that DESs are biodegradable as well as lower production cost </w:t>
      </w:r>
      <w:r w:rsidRPr="00D51FCD">
        <w:rPr>
          <w:rStyle w:val="selectable"/>
          <w:rFonts w:ascii="Times New Roman" w:hAnsi="Times New Roman" w:cs="Times New Roman"/>
          <w:sz w:val="24"/>
          <w:szCs w:val="24"/>
        </w:rPr>
        <w:fldChar w:fldCharType="begin" w:fldLock="1"/>
      </w:r>
      <w:r w:rsidR="006220FE" w:rsidRPr="00D51FCD">
        <w:rPr>
          <w:rStyle w:val="selectable"/>
          <w:rFonts w:ascii="Times New Roman" w:hAnsi="Times New Roman" w:cs="Times New Roman"/>
          <w:sz w:val="24"/>
          <w:szCs w:val="24"/>
        </w:rPr>
        <w:instrText>ADDIN CSL_CITATION { "citationItems" : [ { "id" : "ITEM-1", "itemData" : { "DOI" : "10.1002/jssc.201401347", "ISSN" : "16159306", "author" : [ { "dropping-particle" : "", "family" : "Tang", "given" : "Baokun", "non-dropping-particle" : "", "parse-names" : false, "suffix" : "" }, { "dropping-particle" : "", "family" : "Zhang", "given" : "Heng", "non-dropping-particle" : "", "parse-names" : false, "suffix" : "" }, { "dropping-particle" : "", "family" : "Row", "given" : "Kyung Ho", "non-dropping-particle" : "", "parse-names" : false, "suffix" : "" } ], "container-title" : "Journal of Separation Science", "id" : "ITEM-1", "issued" : { "date-parts" : [ [ "2015" ] ] }, "page" : "1053-1064", "title" : "Application of deep eutectic solvents in the extraction and separation of target compounds from various samples", "type" : "article-journal", "volume" : "38" }, "uris" : [ "http://www.mendeley.com/documents/?uuid=7108c408-c49a-48c0-bacf-6b973973641a" ] } ], "mendeley" : { "formattedCitation" : "[12]", "plainTextFormattedCitation" : "[12]", "previouslyFormattedCitation" : "[12]" }, "properties" : { "noteIndex" : 0 }, "schema" : "https://github.com/citation-style-language/schema/raw/master/csl-citation.json" }</w:instrText>
      </w:r>
      <w:r w:rsidRPr="00D51FCD">
        <w:rPr>
          <w:rStyle w:val="selectable"/>
          <w:rFonts w:ascii="Times New Roman" w:hAnsi="Times New Roman" w:cs="Times New Roman"/>
          <w:sz w:val="24"/>
          <w:szCs w:val="24"/>
        </w:rPr>
        <w:fldChar w:fldCharType="separate"/>
      </w:r>
      <w:r w:rsidR="00FD6752" w:rsidRPr="00D51FCD">
        <w:rPr>
          <w:rStyle w:val="selectable"/>
          <w:rFonts w:ascii="Times New Roman" w:hAnsi="Times New Roman" w:cs="Times New Roman"/>
          <w:noProof/>
          <w:sz w:val="24"/>
          <w:szCs w:val="24"/>
        </w:rPr>
        <w:t>[</w:t>
      </w:r>
      <w:r w:rsidR="000B2852" w:rsidRPr="00D51FCD">
        <w:rPr>
          <w:rStyle w:val="selectable"/>
          <w:rFonts w:ascii="Times New Roman" w:hAnsi="Times New Roman" w:cs="Times New Roman"/>
          <w:noProof/>
          <w:sz w:val="24"/>
          <w:szCs w:val="24"/>
        </w:rPr>
        <w:t>11</w:t>
      </w:r>
      <w:r w:rsidR="006220FE" w:rsidRPr="00D51FCD">
        <w:rPr>
          <w:rStyle w:val="selectable"/>
          <w:rFonts w:ascii="Times New Roman" w:hAnsi="Times New Roman" w:cs="Times New Roman"/>
          <w:noProof/>
          <w:sz w:val="24"/>
          <w:szCs w:val="24"/>
        </w:rPr>
        <w:t>]</w:t>
      </w:r>
      <w:r w:rsidRPr="00D51FCD">
        <w:rPr>
          <w:rStyle w:val="selectable"/>
          <w:rFonts w:ascii="Times New Roman" w:hAnsi="Times New Roman" w:cs="Times New Roman"/>
          <w:sz w:val="24"/>
          <w:szCs w:val="24"/>
        </w:rPr>
        <w:fldChar w:fldCharType="end"/>
      </w:r>
      <w:r w:rsidRPr="00D51FCD">
        <w:rPr>
          <w:rStyle w:val="selectable"/>
          <w:rFonts w:ascii="Times New Roman" w:hAnsi="Times New Roman" w:cs="Times New Roman"/>
          <w:sz w:val="24"/>
          <w:szCs w:val="24"/>
        </w:rPr>
        <w:t xml:space="preserve">. In the view of above foregoing point, DESs have not been explored as a potential lubricant. Therefore, this research focusses on the production of suitable DESs as base fluids for nanolubricants. </w:t>
      </w:r>
    </w:p>
    <w:p w:rsidR="005E1495" w:rsidRPr="00D51FCD" w:rsidRDefault="005E1495" w:rsidP="001C115B">
      <w:pPr>
        <w:spacing w:line="240" w:lineRule="auto"/>
        <w:ind w:firstLine="720"/>
        <w:jc w:val="both"/>
        <w:rPr>
          <w:rStyle w:val="selectable"/>
          <w:rFonts w:ascii="Times New Roman" w:hAnsi="Times New Roman" w:cs="Times New Roman"/>
          <w:sz w:val="24"/>
          <w:szCs w:val="24"/>
        </w:rPr>
      </w:pPr>
      <w:r w:rsidRPr="00D51FCD">
        <w:rPr>
          <w:rStyle w:val="selectable"/>
          <w:rFonts w:ascii="Times New Roman" w:hAnsi="Times New Roman" w:cs="Times New Roman"/>
          <w:sz w:val="24"/>
          <w:szCs w:val="24"/>
        </w:rPr>
        <w:t>The next generation of lubricant can be called as nanolubricant which is formed with the suspension of nanoparticles in the base fluid</w:t>
      </w:r>
      <w:r w:rsidR="003D4FA8" w:rsidRPr="00D51FCD">
        <w:rPr>
          <w:rStyle w:val="selectable"/>
          <w:rFonts w:ascii="Times New Roman" w:hAnsi="Times New Roman" w:cs="Times New Roman"/>
          <w:sz w:val="24"/>
          <w:szCs w:val="24"/>
        </w:rPr>
        <w:t xml:space="preserve"> that</w:t>
      </w:r>
      <w:r w:rsidRPr="00D51FCD">
        <w:rPr>
          <w:rStyle w:val="selectable"/>
          <w:rFonts w:ascii="Times New Roman" w:hAnsi="Times New Roman" w:cs="Times New Roman"/>
          <w:sz w:val="24"/>
          <w:szCs w:val="24"/>
        </w:rPr>
        <w:t xml:space="preserve"> are able to reduce friction and wear which depends on the size, shape and amount of nanoparticles added to the base fluid </w:t>
      </w:r>
      <w:r w:rsidRPr="00D51FCD">
        <w:rPr>
          <w:rStyle w:val="selectable"/>
          <w:rFonts w:ascii="Times New Roman" w:hAnsi="Times New Roman" w:cs="Times New Roman"/>
          <w:sz w:val="24"/>
          <w:szCs w:val="24"/>
        </w:rPr>
        <w:fldChar w:fldCharType="begin" w:fldLock="1"/>
      </w:r>
      <w:r w:rsidR="006220FE" w:rsidRPr="00D51FCD">
        <w:rPr>
          <w:rStyle w:val="selectable"/>
          <w:rFonts w:ascii="Times New Roman" w:hAnsi="Times New Roman" w:cs="Times New Roman"/>
          <w:sz w:val="24"/>
          <w:szCs w:val="24"/>
        </w:rPr>
        <w:instrText>ADDIN CSL_CITATION { "citationItems" : [ { "id" : "ITEM-1", "itemData" : { "DOI" : "10.1016/j.wear.2006.08.021", "ISSN" : "00431648", "author" : [ { "dropping-particle" : "", "family" : "Wu", "given" : "Y.Y.", "non-dropping-particle" : "", "parse-names" : false, "suffix" : "" }, { "dropping-particle" : "", "family" : "Tsui", "given" : "W.C.", "non-dropping-particle" : "", "parse-names" : false, "suffix" : "" }, { "dropping-particle" : "", "family" : "Liu", "given" : "T.C.", "non-dropping-particle" : "", "parse-names" : false, "suffix" : "" } ], "container-title" : "Wear", "id" : "ITEM-1", "issue" : "7-8", "issued" : { "date-parts" : [ [ "2007" ] ] }, "page" : "819-825", "title" : "Experimental analysis of tribological properties of lubricating oils with nanoparticle additives", "type" : "article-journal", "volume" : "262" }, "uris" : [ "http://www.mendeley.com/documents/?uuid=0e6ffc5f-91be-45ea-9268-50e39ba97ac9" ] } ], "mendeley" : { "formattedCitation" : "[13]", "plainTextFormattedCitation" : "[13]", "previouslyFormattedCitation" : "[13]" }, "properties" : { "noteIndex" : 0 }, "schema" : "https://github.com/citation-style-language/schema/raw/master/csl-citation.json" }</w:instrText>
      </w:r>
      <w:r w:rsidRPr="00D51FCD">
        <w:rPr>
          <w:rStyle w:val="selectable"/>
          <w:rFonts w:ascii="Times New Roman" w:hAnsi="Times New Roman" w:cs="Times New Roman"/>
          <w:sz w:val="24"/>
          <w:szCs w:val="24"/>
        </w:rPr>
        <w:fldChar w:fldCharType="separate"/>
      </w:r>
      <w:r w:rsidR="0099326C" w:rsidRPr="00D51FCD">
        <w:rPr>
          <w:rStyle w:val="selectable"/>
          <w:rFonts w:ascii="Times New Roman" w:hAnsi="Times New Roman" w:cs="Times New Roman"/>
          <w:noProof/>
          <w:sz w:val="24"/>
          <w:szCs w:val="24"/>
        </w:rPr>
        <w:t>[</w:t>
      </w:r>
      <w:r w:rsidR="000B2852" w:rsidRPr="00D51FCD">
        <w:rPr>
          <w:rStyle w:val="selectable"/>
          <w:rFonts w:ascii="Times New Roman" w:hAnsi="Times New Roman" w:cs="Times New Roman"/>
          <w:noProof/>
          <w:sz w:val="24"/>
          <w:szCs w:val="24"/>
        </w:rPr>
        <w:t>12</w:t>
      </w:r>
      <w:r w:rsidR="006220FE" w:rsidRPr="00D51FCD">
        <w:rPr>
          <w:rStyle w:val="selectable"/>
          <w:rFonts w:ascii="Times New Roman" w:hAnsi="Times New Roman" w:cs="Times New Roman"/>
          <w:noProof/>
          <w:sz w:val="24"/>
          <w:szCs w:val="24"/>
        </w:rPr>
        <w:t>]</w:t>
      </w:r>
      <w:r w:rsidRPr="00D51FCD">
        <w:rPr>
          <w:rStyle w:val="selectable"/>
          <w:rFonts w:ascii="Times New Roman" w:hAnsi="Times New Roman" w:cs="Times New Roman"/>
          <w:sz w:val="24"/>
          <w:szCs w:val="24"/>
        </w:rPr>
        <w:fldChar w:fldCharType="end"/>
      </w:r>
      <w:r w:rsidRPr="00D51FCD">
        <w:rPr>
          <w:rStyle w:val="selectable"/>
          <w:rFonts w:ascii="Times New Roman" w:hAnsi="Times New Roman" w:cs="Times New Roman"/>
          <w:sz w:val="24"/>
          <w:szCs w:val="24"/>
        </w:rPr>
        <w:t>. Nanoparticles when added to existing lubricating oil are able to enhance the lubricity by forming a protective film on the surface and anti-wear property by converting sliding friction to rolling friction</w:t>
      </w:r>
      <w:r w:rsidR="006220FE" w:rsidRPr="00D51FCD">
        <w:rPr>
          <w:rStyle w:val="selectable"/>
          <w:rFonts w:ascii="Times New Roman" w:hAnsi="Times New Roman" w:cs="Times New Roman"/>
          <w:sz w:val="24"/>
          <w:szCs w:val="24"/>
        </w:rPr>
        <w:t xml:space="preserve"> </w:t>
      </w:r>
      <w:r w:rsidR="006220FE" w:rsidRPr="00D51FCD">
        <w:rPr>
          <w:rStyle w:val="selectable"/>
          <w:rFonts w:ascii="Times New Roman" w:hAnsi="Times New Roman" w:cs="Times New Roman"/>
          <w:sz w:val="24"/>
          <w:szCs w:val="24"/>
        </w:rPr>
        <w:fldChar w:fldCharType="begin" w:fldLock="1"/>
      </w:r>
      <w:r w:rsidR="006220FE" w:rsidRPr="00D51FCD">
        <w:rPr>
          <w:rStyle w:val="selectable"/>
          <w:rFonts w:ascii="Times New Roman" w:hAnsi="Times New Roman" w:cs="Times New Roman"/>
          <w:sz w:val="24"/>
          <w:szCs w:val="24"/>
        </w:rPr>
        <w:instrText>ADDIN CSL_CITATION { "citationItems" : [ { "id" : "ITEM-1", "itemData" : { "DOI" : "10.1016/j.ceramint.2014.03.181", "ISSN" : "02728842", "abstract" : "Al2O3/TiO2 nanocomposites with an average size of 75nm were synthesized via an in-situ surface modification method. The nanoparticles were analyzed by scanning electron microscope and Zeta potential analyzer. Results showed that modified Al2O3/TiO2 nanoparticles have significantly improved dispersion stability in lubricating oil due to the introduction of grafted polymers onto the surface of the nanoparticles. The friction and wear properties of lubricating oil with added Al2O3/TiO2 nanocomposites were investigated on a MMU-10G friction-abrasion tester. It was found that the use of modified Al2O3/TiO2 nanocomposites provided a much better tribological performance of the lubricating oil. The anti-friction mechanism is based on the formation of a protective film on the worn surface and the wear behavior changing from sliding friction to rolling friction during the friction process.", "author" : [ { "dropping-particle" : "", "family" : "Luo", "given" : "Ting", "non-dropping-particle" : "", "parse-names" : false, "suffix" : "" }, { "dropping-particle" : "", "family" : "Wei", "given" : "Xiaowei", "non-dropping-particle" : "", "parse-names" : false, "suffix" : "" }, { "dropping-particle" : "", "family" : "Zhao", "given" : "Haiyan", "non-dropping-particle" : "", "parse-names" : false, "suffix" : "" }, { "dropping-particle" : "", "family" : "Cai", "given" : "Guangyong", "non-dropping-particle" : "", "parse-names" : false, "suffix" : "" }, { "dropping-particle" : "", "family" : "Zheng", "given" : "Xiaoyu", "non-dropping-particle" : "", "parse-names" : false, "suffix" : "" } ], "container-title" : "Ceramics International", "id" : "ITEM-1", "issue" : "7", "issued" : { "date-parts" : [ [ "2014" ] ] }, "page" : "10103-10109", "publisher" : "Elsevier", "title" : "Tribology properties of Al2O3/TiO2 nanocomposites as lubricant additives", "type" : "article-journal", "volume" : "40" }, "uris" : [ "http://www.mendeley.com/documents/?uuid=7d29cb59-1d82-4d1c-90f5-83b00022cdb6" ] } ], "mendeley" : { "formattedCitation" : "[14]", "plainTextFormattedCitation" : "[14]", "previouslyFormattedCitation" : "[14]" }, "properties" : { "noteIndex" : 0 }, "schema" : "https://github.com/citation-style-language/schema/raw/master/csl-citation.json" }</w:instrText>
      </w:r>
      <w:r w:rsidR="006220FE" w:rsidRPr="00D51FCD">
        <w:rPr>
          <w:rStyle w:val="selectable"/>
          <w:rFonts w:ascii="Times New Roman" w:hAnsi="Times New Roman" w:cs="Times New Roman"/>
          <w:sz w:val="24"/>
          <w:szCs w:val="24"/>
        </w:rPr>
        <w:fldChar w:fldCharType="separate"/>
      </w:r>
      <w:r w:rsidR="00FD6752" w:rsidRPr="00D51FCD">
        <w:rPr>
          <w:rStyle w:val="selectable"/>
          <w:rFonts w:ascii="Times New Roman" w:hAnsi="Times New Roman" w:cs="Times New Roman"/>
          <w:noProof/>
          <w:sz w:val="24"/>
          <w:szCs w:val="24"/>
        </w:rPr>
        <w:t>[</w:t>
      </w:r>
      <w:r w:rsidR="00861AB2" w:rsidRPr="00D51FCD">
        <w:rPr>
          <w:rStyle w:val="selectable"/>
          <w:rFonts w:ascii="Times New Roman" w:hAnsi="Times New Roman" w:cs="Times New Roman"/>
          <w:noProof/>
          <w:sz w:val="24"/>
          <w:szCs w:val="24"/>
        </w:rPr>
        <w:t>13</w:t>
      </w:r>
      <w:r w:rsidR="006220FE" w:rsidRPr="00D51FCD">
        <w:rPr>
          <w:rStyle w:val="selectable"/>
          <w:rFonts w:ascii="Times New Roman" w:hAnsi="Times New Roman" w:cs="Times New Roman"/>
          <w:noProof/>
          <w:sz w:val="24"/>
          <w:szCs w:val="24"/>
        </w:rPr>
        <w:t>]</w:t>
      </w:r>
      <w:r w:rsidR="006220FE" w:rsidRPr="00D51FCD">
        <w:rPr>
          <w:rStyle w:val="selectable"/>
          <w:rFonts w:ascii="Times New Roman" w:hAnsi="Times New Roman" w:cs="Times New Roman"/>
          <w:sz w:val="24"/>
          <w:szCs w:val="24"/>
        </w:rPr>
        <w:fldChar w:fldCharType="end"/>
      </w:r>
      <w:r w:rsidRPr="00D51FCD">
        <w:rPr>
          <w:rStyle w:val="selectable"/>
          <w:rFonts w:ascii="Times New Roman" w:hAnsi="Times New Roman" w:cs="Times New Roman"/>
          <w:sz w:val="24"/>
          <w:szCs w:val="24"/>
        </w:rPr>
        <w:t xml:space="preserve">. </w:t>
      </w:r>
      <w:r w:rsidRPr="00D51FCD">
        <w:rPr>
          <w:rFonts w:ascii="Times New Roman" w:hAnsi="Times New Roman" w:cs="Times New Roman"/>
          <w:sz w:val="24"/>
          <w:szCs w:val="24"/>
        </w:rPr>
        <w:t xml:space="preserve">As an example of the effectiveness of addition of nanoparticle was shown in study conducted by </w:t>
      </w:r>
      <w:r w:rsidRPr="00D51FCD">
        <w:rPr>
          <w:rFonts w:ascii="Times New Roman" w:hAnsi="Times New Roman" w:cs="Times New Roman"/>
          <w:sz w:val="24"/>
          <w:szCs w:val="24"/>
        </w:rPr>
        <w:fldChar w:fldCharType="begin" w:fldLock="1"/>
      </w:r>
      <w:r w:rsidR="006220FE" w:rsidRPr="00D51FCD">
        <w:rPr>
          <w:rFonts w:ascii="Times New Roman" w:hAnsi="Times New Roman" w:cs="Times New Roman"/>
          <w:sz w:val="24"/>
          <w:szCs w:val="24"/>
        </w:rPr>
        <w:instrText>ADDIN CSL_CITATION { "citationItems" : [ { "id" : "ITEM-1", "itemData" : { "DOI" : "10.1016/j.cap.2008.12.054", "ISBN" : "15671739", "ISSN" : "15671739", "abstract" : "It has been recognized that the friction coefficient decreases with decreasing viscosity of lubricant oil in lubrication. In general, as the viscosity of the lubricant decreases, the wear rate increases due to a decrease of load-carrying capacity of the lubricant. It has been proposed that nano particles in oil decrease the friction coefficient and wear rate. The purpose of this study is to apply oil, which has lower viscosity and is mixed with nano particles, to the compressor used in a refrigerator to decrease the friction coefficient with the same or superior load-carrying capacity. Mineral oil of 8 mm2/s was used and mixed with fullerene nanoparticles of 0.1 vol%. Friction coefficient was evaluated by a disk-on-disk tribotester. As a result, the friction coefficient of the nano-oil decreased by 90% in comparison with raw oil. These results lead us to the conclusion that nano-oil can contribute to improving the efficiency and reliability of the compressor. ?? 2009 Elsevier B.V. All rights reserved.", "author" : [ { "dropping-particle" : "", "family" : "Lee", "given" : "Kwangho", "non-dropping-particle" : "", "parse-names" : false, "suffix" : "" }, { "dropping-particle" : "", "family" : "Hwang", "given" : "Yujin", "non-dropping-particle" : "", "parse-names" : false, "suffix" : "" }, { "dropping-particle" : "", "family" : "Cheong", "given" : "Seongir", "non-dropping-particle" : "", "parse-names" : false, "suffix" : "" }, { "dropping-particle" : "", "family" : "Kwon", "given" : "Laeun", "non-dropping-particle" : "", "parse-names" : false, "suffix" : "" }, { "dropping-particle" : "", "family" : "Kim", "given" : "Sungchoon", "non-dropping-particle" : "", "parse-names" : false, "suffix" : "" }, { "dropping-particle" : "", "family" : "Lee", "given" : "Jaekeun", "non-dropping-particle" : "", "parse-names" : false, "suffix" : "" } ], "container-title" : "Current Applied Physics", "id" : "ITEM-1", "issue" : "2 SUPPL.", "issued" : { "date-parts" : [ [ "2009" ] ] }, "page" : "e128-e131", "publisher" : "Elsevier B.V.", "title" : "Performance evaluation of nano-lubricants of fullerene nanoparticles in refrigeration mineral oil", "type" : "article-journal", "volume" : "9" }, "uris" : [ "http://www.mendeley.com/documents/?uuid=8a239b67-a30c-40a3-9f21-5ab4a1df4e63" ] } ], "mendeley" : { "formattedCitation" : "[15]", "manualFormatting" : "K. Lee et al. (2009)", "plainTextFormattedCitation" : "[15]", "previouslyFormattedCitation" : "[15]"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Pr="00D51FCD">
        <w:rPr>
          <w:rFonts w:ascii="Times New Roman" w:hAnsi="Times New Roman" w:cs="Times New Roman"/>
          <w:noProof/>
          <w:sz w:val="24"/>
          <w:szCs w:val="24"/>
        </w:rPr>
        <w:t xml:space="preserve">Lee et al. </w:t>
      </w:r>
      <w:r w:rsidR="00FD6752" w:rsidRPr="00D51FCD">
        <w:rPr>
          <w:rFonts w:ascii="Times New Roman" w:hAnsi="Times New Roman" w:cs="Times New Roman"/>
          <w:noProof/>
          <w:sz w:val="24"/>
          <w:szCs w:val="24"/>
        </w:rPr>
        <w:t>[</w:t>
      </w:r>
      <w:r w:rsidR="00861AB2" w:rsidRPr="00D51FCD">
        <w:rPr>
          <w:rFonts w:ascii="Times New Roman" w:hAnsi="Times New Roman" w:cs="Times New Roman"/>
          <w:noProof/>
          <w:sz w:val="24"/>
          <w:szCs w:val="24"/>
        </w:rPr>
        <w:t>14</w:t>
      </w:r>
      <w:r w:rsidR="00132946" w:rsidRPr="00D51FCD">
        <w:rPr>
          <w:rFonts w:ascii="Times New Roman" w:hAnsi="Times New Roman" w:cs="Times New Roman"/>
          <w:noProof/>
          <w:sz w:val="24"/>
          <w:szCs w:val="24"/>
        </w:rPr>
        <w:t xml:space="preserve">] </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 where fullerene nanoparticles in mineral oil were able to reduce coefficient of friction by 90% with a concentration of 0.1 wt%. </w:t>
      </w:r>
      <w:r w:rsidR="003D4FA8" w:rsidRPr="00D51FCD">
        <w:rPr>
          <w:rFonts w:ascii="Times New Roman" w:hAnsi="Times New Roman" w:cs="Times New Roman"/>
          <w:sz w:val="24"/>
          <w:szCs w:val="24"/>
        </w:rPr>
        <w:t xml:space="preserve">The CNTs are believed to behave like polymer which initially entangled but rearranges according to the flow direction when certain stress is applied </w:t>
      </w:r>
      <w:r w:rsidR="00861AB2" w:rsidRPr="00D51FCD">
        <w:rPr>
          <w:rFonts w:ascii="Times New Roman" w:hAnsi="Times New Roman" w:cs="Times New Roman"/>
          <w:sz w:val="24"/>
          <w:szCs w:val="24"/>
        </w:rPr>
        <w:t>[15]</w:t>
      </w:r>
      <w:r w:rsidR="003D4FA8" w:rsidRPr="00D51FCD">
        <w:rPr>
          <w:rFonts w:ascii="Times New Roman" w:hAnsi="Times New Roman" w:cs="Times New Roman"/>
          <w:sz w:val="24"/>
          <w:szCs w:val="24"/>
        </w:rPr>
        <w:t xml:space="preserve">. The dispersion of CNT in oil is capable of affecting the tribological properties of lubricant </w:t>
      </w:r>
      <w:r w:rsidR="00861AB2" w:rsidRPr="00D51FCD">
        <w:rPr>
          <w:rFonts w:ascii="Times New Roman" w:hAnsi="Times New Roman" w:cs="Times New Roman"/>
          <w:sz w:val="24"/>
          <w:szCs w:val="24"/>
        </w:rPr>
        <w:t>[16</w:t>
      </w:r>
      <w:r w:rsidR="0099326C" w:rsidRPr="00D51FCD">
        <w:rPr>
          <w:rFonts w:ascii="Times New Roman" w:hAnsi="Times New Roman" w:cs="Times New Roman"/>
          <w:sz w:val="24"/>
          <w:szCs w:val="24"/>
        </w:rPr>
        <w:t xml:space="preserve">]. </w:t>
      </w:r>
      <w:r w:rsidR="003D4FA8" w:rsidRPr="00D51FCD">
        <w:rPr>
          <w:rFonts w:ascii="Times New Roman" w:hAnsi="Times New Roman" w:cs="Times New Roman"/>
          <w:sz w:val="24"/>
          <w:szCs w:val="24"/>
        </w:rPr>
        <w:t xml:space="preserve">Similarly, in the study by </w:t>
      </w:r>
      <w:r w:rsidR="003D4FA8" w:rsidRPr="00D51FCD">
        <w:rPr>
          <w:rFonts w:ascii="Times New Roman" w:hAnsi="Times New Roman" w:cs="Times New Roman"/>
          <w:sz w:val="24"/>
          <w:szCs w:val="24"/>
        </w:rPr>
        <w:fldChar w:fldCharType="begin" w:fldLock="1"/>
      </w:r>
      <w:r w:rsidR="003D4FA8" w:rsidRPr="00D51FCD">
        <w:rPr>
          <w:rFonts w:ascii="Times New Roman" w:hAnsi="Times New Roman" w:cs="Times New Roman"/>
          <w:sz w:val="24"/>
          <w:szCs w:val="24"/>
        </w:rPr>
        <w:instrText>ADDIN CSL_CITATION { "citationItems" : [ { "id" : "ITEM-1", "itemData" : { "DOI" : "10.1016/j.ceramint.2014.03.181", "ISSN" : "02728842", "abstract" : "Al2O3/TiO2 nanocomposites with an average size of 75nm were synthesized via an in-situ surface modification method. The nanoparticles were analyzed by scanning electron microscope and Zeta potential analyzer. Results showed that modified Al2O3/TiO2 nanoparticles have significantly improved dispersion stability in lubricating oil due to the introduction of grafted polymers onto the surface of the nanoparticles. The friction and wear properties of lubricating oil with added Al2O3/TiO2 nanocomposites were investigated on a MMU-10G friction-abrasion tester. It was found that the use of modified Al2O3/TiO2 nanocomposites provided a much better tribological performance of the lubricating oil. The anti-friction mechanism is based on the formation of a protective film on the worn surface and the wear behavior changing from sliding friction to rolling friction during the friction process.", "author" : [ { "dropping-particle" : "", "family" : "Luo", "given" : "Ting", "non-dropping-particle" : "", "parse-names" : false, "suffix" : "" }, { "dropping-particle" : "", "family" : "Wei", "given" : "Xiaowei", "non-dropping-particle" : "", "parse-names" : false, "suffix" : "" }, { "dropping-particle" : "", "family" : "Zhao", "given" : "Haiyan", "non-dropping-particle" : "", "parse-names" : false, "suffix" : "" }, { "dropping-particle" : "", "family" : "Cai", "given" : "Guangyong", "non-dropping-particle" : "", "parse-names" : false, "suffix" : "" }, { "dropping-particle" : "", "family" : "Zheng", "given" : "Xiaoyu", "non-dropping-particle" : "", "parse-names" : false, "suffix" : "" } ], "container-title" : "Ceramics International", "id" : "ITEM-1", "issue" : "7", "issued" : { "date-parts" : [ [ "2014" ] ] }, "page" : "10103-10109", "publisher" : "Elsevier", "title" : "Tribology properties of Al2O3/TiO2 nanocomposites as lubricant additives", "type" : "article-journal", "volume" : "40" }, "uris" : [ "http://www.mendeley.com/documents/?uuid=7d29cb59-1d82-4d1c-90f5-83b00022cdb6" ] } ], "mendeley" : { "formattedCitation" : "(Luo et al., 2014)", "manualFormatting" : "Luo et al. (2014)", "plainTextFormattedCitation" : "(Luo et al., 2014)", "previouslyFormattedCitation" : "(Luo et al., 2014)" }, "properties" : { "noteIndex" : 0 }, "schema" : "https://github.com/citation-style-language/schema/raw/master/csl-citation.json" }</w:instrText>
      </w:r>
      <w:r w:rsidR="003D4FA8" w:rsidRPr="00D51FCD">
        <w:rPr>
          <w:rFonts w:ascii="Times New Roman" w:hAnsi="Times New Roman" w:cs="Times New Roman"/>
          <w:sz w:val="24"/>
          <w:szCs w:val="24"/>
        </w:rPr>
        <w:fldChar w:fldCharType="separate"/>
      </w:r>
      <w:r w:rsidR="0099326C" w:rsidRPr="00D51FCD">
        <w:rPr>
          <w:rFonts w:ascii="Times New Roman" w:hAnsi="Times New Roman" w:cs="Times New Roman"/>
          <w:noProof/>
          <w:sz w:val="24"/>
          <w:szCs w:val="24"/>
        </w:rPr>
        <w:t xml:space="preserve">Luo et al. </w:t>
      </w:r>
      <w:r w:rsidR="003D4FA8" w:rsidRPr="00D51FCD">
        <w:rPr>
          <w:rFonts w:ascii="Times New Roman" w:hAnsi="Times New Roman" w:cs="Times New Roman"/>
          <w:sz w:val="24"/>
          <w:szCs w:val="24"/>
        </w:rPr>
        <w:fldChar w:fldCharType="end"/>
      </w:r>
      <w:r w:rsidR="00861AB2" w:rsidRPr="00D51FCD">
        <w:rPr>
          <w:rFonts w:ascii="Times New Roman" w:hAnsi="Times New Roman" w:cs="Times New Roman"/>
          <w:sz w:val="24"/>
          <w:szCs w:val="24"/>
        </w:rPr>
        <w:t>[17]</w:t>
      </w:r>
      <w:r w:rsidR="003D4FA8" w:rsidRPr="00D51FCD">
        <w:rPr>
          <w:rFonts w:ascii="Times New Roman" w:hAnsi="Times New Roman" w:cs="Times New Roman"/>
          <w:sz w:val="24"/>
          <w:szCs w:val="24"/>
        </w:rPr>
        <w:t>, the addition of aluminium oxide together with titanium oxide nanocomposite to lubricating oil greatly increased the anti-friction property.</w:t>
      </w:r>
      <w:r w:rsidR="00C57C57" w:rsidRPr="00D51FCD">
        <w:rPr>
          <w:rFonts w:ascii="Times New Roman" w:hAnsi="Times New Roman" w:cs="Times New Roman"/>
          <w:sz w:val="24"/>
          <w:szCs w:val="24"/>
        </w:rPr>
        <w:t xml:space="preserve"> </w:t>
      </w:r>
      <w:r w:rsidRPr="00D51FCD">
        <w:rPr>
          <w:rStyle w:val="selectable"/>
          <w:rFonts w:ascii="Times New Roman" w:hAnsi="Times New Roman" w:cs="Times New Roman"/>
          <w:sz w:val="24"/>
          <w:szCs w:val="24"/>
        </w:rPr>
        <w:t xml:space="preserve">The addition of modified graphene platelets as additives in lubricating oil are capable of enhancing tribological properties as the wear resistance and the capability of the lubricant was significantly increased </w:t>
      </w:r>
      <w:r w:rsidRPr="00D51FCD">
        <w:rPr>
          <w:rStyle w:val="selectable"/>
          <w:rFonts w:ascii="Times New Roman" w:hAnsi="Times New Roman" w:cs="Times New Roman"/>
          <w:sz w:val="24"/>
          <w:szCs w:val="24"/>
        </w:rPr>
        <w:fldChar w:fldCharType="begin" w:fldLock="1"/>
      </w:r>
      <w:r w:rsidR="006220FE" w:rsidRPr="00D51FCD">
        <w:rPr>
          <w:rStyle w:val="selectable"/>
          <w:rFonts w:ascii="Times New Roman" w:hAnsi="Times New Roman" w:cs="Times New Roman"/>
          <w:sz w:val="24"/>
          <w:szCs w:val="24"/>
        </w:rPr>
        <w:instrText>ADDIN CSL_CITATION { "citationItems" : [ { "id" : "ITEM-1", "itemData" : { "DOI" : "10.1007/s11249-010-9702-5", "ISSN" : "1023-8883", "author" : [ { "dropping-particle" : "", "family" : "Lin", "given" : "Jinshan", "non-dropping-particle" : "", "parse-names" : false, "suffix" : "" }, { "dropping-particle" : "", "family" : "Wang", "given" : "Liwei", "non-dropping-particle" : "", "parse-names" : false, "suffix" : "" }, { "dropping-particle" : "", "family" : "Chen", "given" : "Guohua", "non-dropping-particle" : "", "parse-names" : false, "suffix" : "" } ], "container-title" : "Tribology Letters", "id" : "ITEM-1", "issue" : "1", "issued" : { "date-parts" : [ [ "2011" ] ] }, "page" : "209-215", "title" : "Modification of Graphene Platelets and their Tribological Properties as a Lubricant Additive", "type" : "article-journal", "volume" : "41" }, "uris" : [ "http://www.mendeley.com/documents/?uuid=f344ca0a-ce93-44eb-88f8-1cb15f3cc3d1" ] } ], "mendeley" : { "formattedCitation" : "[18]", "plainTextFormattedCitation" : "[18]", "previouslyFormattedCitation" : "[18]" }, "properties" : { "noteIndex" : 0 }, "schema" : "https://github.com/citation-style-language/schema/raw/master/csl-citation.json" }</w:instrText>
      </w:r>
      <w:r w:rsidRPr="00D51FCD">
        <w:rPr>
          <w:rStyle w:val="selectable"/>
          <w:rFonts w:ascii="Times New Roman" w:hAnsi="Times New Roman" w:cs="Times New Roman"/>
          <w:sz w:val="24"/>
          <w:szCs w:val="24"/>
        </w:rPr>
        <w:fldChar w:fldCharType="separate"/>
      </w:r>
      <w:r w:rsidR="0099326C" w:rsidRPr="00D51FCD">
        <w:rPr>
          <w:rStyle w:val="selectable"/>
          <w:rFonts w:ascii="Times New Roman" w:hAnsi="Times New Roman" w:cs="Times New Roman"/>
          <w:noProof/>
          <w:sz w:val="24"/>
          <w:szCs w:val="24"/>
        </w:rPr>
        <w:t>[</w:t>
      </w:r>
      <w:r w:rsidR="00861AB2" w:rsidRPr="00D51FCD">
        <w:rPr>
          <w:rStyle w:val="selectable"/>
          <w:rFonts w:ascii="Times New Roman" w:hAnsi="Times New Roman" w:cs="Times New Roman"/>
          <w:noProof/>
          <w:sz w:val="24"/>
          <w:szCs w:val="24"/>
        </w:rPr>
        <w:t>18</w:t>
      </w:r>
      <w:r w:rsidR="006220FE" w:rsidRPr="00D51FCD">
        <w:rPr>
          <w:rStyle w:val="selectable"/>
          <w:rFonts w:ascii="Times New Roman" w:hAnsi="Times New Roman" w:cs="Times New Roman"/>
          <w:noProof/>
          <w:sz w:val="24"/>
          <w:szCs w:val="24"/>
        </w:rPr>
        <w:t>]</w:t>
      </w:r>
      <w:r w:rsidRPr="00D51FCD">
        <w:rPr>
          <w:rStyle w:val="selectable"/>
          <w:rFonts w:ascii="Times New Roman" w:hAnsi="Times New Roman" w:cs="Times New Roman"/>
          <w:sz w:val="24"/>
          <w:szCs w:val="24"/>
        </w:rPr>
        <w:fldChar w:fldCharType="end"/>
      </w:r>
      <w:r w:rsidRPr="00D51FCD">
        <w:rPr>
          <w:rStyle w:val="selectable"/>
          <w:rFonts w:ascii="Times New Roman" w:hAnsi="Times New Roman" w:cs="Times New Roman"/>
          <w:sz w:val="24"/>
          <w:szCs w:val="24"/>
        </w:rPr>
        <w:t>. This research aims at synthesising various DESs, comprising of glycerol and polyethylene glycol (PEG) which acts as HBD and Choline Chlorine (ChCl) as salt at different molar ratios.  Functionalised Multi-Walled Carbon Nanotube (</w:t>
      </w:r>
      <w:r w:rsidRPr="00D51FCD">
        <w:rPr>
          <w:rFonts w:ascii="Times New Roman" w:hAnsi="Times New Roman" w:cs="Times New Roman"/>
          <w:sz w:val="24"/>
          <w:szCs w:val="24"/>
        </w:rPr>
        <w:t>F-MWCNT)</w:t>
      </w:r>
      <w:r w:rsidRPr="00D51FCD">
        <w:rPr>
          <w:rStyle w:val="selectable"/>
          <w:rFonts w:ascii="Times New Roman" w:hAnsi="Times New Roman" w:cs="Times New Roman"/>
          <w:sz w:val="24"/>
          <w:szCs w:val="24"/>
        </w:rPr>
        <w:t xml:space="preserve"> of different concentration is dispersed into the DESs to enhance the thermo-physical, tribological and frictional characteristics of the DES nanolubricants</w:t>
      </w:r>
      <w:bookmarkStart w:id="0" w:name="_GoBack"/>
      <w:bookmarkEnd w:id="0"/>
      <w:r w:rsidRPr="00D51FCD">
        <w:rPr>
          <w:rStyle w:val="selectable"/>
          <w:rFonts w:ascii="Times New Roman" w:hAnsi="Times New Roman" w:cs="Times New Roman"/>
          <w:sz w:val="24"/>
          <w:szCs w:val="24"/>
        </w:rPr>
        <w:t xml:space="preserve">. </w:t>
      </w:r>
    </w:p>
    <w:p w:rsidR="00441283" w:rsidRPr="00D51FCD" w:rsidRDefault="00441283" w:rsidP="001C115B">
      <w:pPr>
        <w:spacing w:line="240" w:lineRule="auto"/>
        <w:rPr>
          <w:rFonts w:ascii="Times New Roman" w:hAnsi="Times New Roman" w:cs="Times New Roman"/>
          <w:b/>
          <w:sz w:val="24"/>
          <w:szCs w:val="24"/>
        </w:rPr>
      </w:pPr>
    </w:p>
    <w:p w:rsidR="00682939" w:rsidRPr="00D51FCD" w:rsidRDefault="00441283" w:rsidP="001C115B">
      <w:pPr>
        <w:spacing w:line="240" w:lineRule="auto"/>
        <w:rPr>
          <w:rFonts w:ascii="Times New Roman" w:hAnsi="Times New Roman" w:cs="Times New Roman"/>
          <w:b/>
          <w:sz w:val="24"/>
          <w:szCs w:val="24"/>
        </w:rPr>
      </w:pPr>
      <w:r w:rsidRPr="00D51FCD">
        <w:rPr>
          <w:rFonts w:ascii="Times New Roman" w:hAnsi="Times New Roman" w:cs="Times New Roman"/>
          <w:b/>
          <w:sz w:val="24"/>
          <w:szCs w:val="24"/>
        </w:rPr>
        <w:t>2. Experimental</w:t>
      </w:r>
    </w:p>
    <w:p w:rsidR="008E3B4F" w:rsidRPr="00D51FCD" w:rsidRDefault="00441283" w:rsidP="001C115B">
      <w:pPr>
        <w:spacing w:line="240" w:lineRule="auto"/>
        <w:rPr>
          <w:rFonts w:ascii="Times New Roman" w:hAnsi="Times New Roman" w:cs="Times New Roman"/>
          <w:i/>
          <w:sz w:val="24"/>
          <w:szCs w:val="24"/>
        </w:rPr>
      </w:pPr>
      <w:r w:rsidRPr="00D51FCD">
        <w:rPr>
          <w:rFonts w:ascii="Times New Roman" w:hAnsi="Times New Roman" w:cs="Times New Roman"/>
          <w:i/>
          <w:sz w:val="24"/>
          <w:szCs w:val="24"/>
        </w:rPr>
        <w:t>2.1 Materials</w:t>
      </w:r>
    </w:p>
    <w:p w:rsidR="008E3B4F" w:rsidRPr="00D51FCD" w:rsidRDefault="008E3B4F" w:rsidP="001C115B">
      <w:pPr>
        <w:spacing w:line="240" w:lineRule="auto"/>
        <w:jc w:val="both"/>
        <w:rPr>
          <w:rFonts w:ascii="Times New Roman" w:hAnsi="Times New Roman" w:cs="Times New Roman"/>
          <w:i/>
          <w:sz w:val="24"/>
          <w:szCs w:val="24"/>
        </w:rPr>
      </w:pPr>
      <w:r w:rsidRPr="00D51FCD">
        <w:rPr>
          <w:rFonts w:ascii="Times New Roman" w:hAnsi="Times New Roman" w:cs="Times New Roman"/>
          <w:sz w:val="24"/>
          <w:szCs w:val="24"/>
        </w:rPr>
        <w:t>The common salt used in this research was Choline Chloride (ChCl) purchased from Merck Sdn. Bhd. with purity of 99.0 %. The HBDs are industrial glycerol with 97% purity from Wataka Industries and Polyethylene Glycol 600 from R&amp;M Chemicals (C.P). The Multi-Walled Carbon Nanotubes (MWCNTs) were functionalised with hydroxyl group and purchased with purity of 95% from N.E Scientific with 10 – 20 nm outer diameter with length of 10 – 30 μm.</w:t>
      </w:r>
    </w:p>
    <w:p w:rsidR="008E3B4F" w:rsidRPr="00D51FCD" w:rsidRDefault="008E3B4F" w:rsidP="001C115B">
      <w:pPr>
        <w:spacing w:line="240" w:lineRule="auto"/>
        <w:rPr>
          <w:rFonts w:ascii="Times New Roman" w:hAnsi="Times New Roman" w:cs="Times New Roman"/>
          <w:i/>
          <w:sz w:val="24"/>
          <w:szCs w:val="24"/>
        </w:rPr>
      </w:pPr>
    </w:p>
    <w:p w:rsidR="008E3B4F" w:rsidRPr="00D51FCD" w:rsidRDefault="00441283" w:rsidP="001C115B">
      <w:pPr>
        <w:spacing w:line="240" w:lineRule="auto"/>
        <w:rPr>
          <w:rFonts w:ascii="Times New Roman" w:hAnsi="Times New Roman" w:cs="Times New Roman"/>
          <w:i/>
          <w:sz w:val="24"/>
          <w:szCs w:val="24"/>
        </w:rPr>
      </w:pPr>
      <w:r w:rsidRPr="00D51FCD">
        <w:rPr>
          <w:rFonts w:ascii="Times New Roman" w:hAnsi="Times New Roman" w:cs="Times New Roman"/>
          <w:i/>
          <w:sz w:val="24"/>
          <w:szCs w:val="24"/>
        </w:rPr>
        <w:t>2.2 Preparation of DES-CNT</w:t>
      </w:r>
    </w:p>
    <w:p w:rsidR="000A10BE" w:rsidRPr="00D51FCD" w:rsidRDefault="008E3B4F" w:rsidP="000A10BE">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t xml:space="preserve">The synthesis of DES was conducted for two different HBDs which were glycerol and PEG. The molar ratio for the synthesised two component DES (ChCl-Gly) were based on the literature that has the lowest melting point </w:t>
      </w:r>
      <w:r w:rsidR="00E01997" w:rsidRPr="00D51FCD">
        <w:rPr>
          <w:rFonts w:ascii="Times New Roman" w:hAnsi="Times New Roman" w:cs="Times New Roman"/>
          <w:sz w:val="24"/>
          <w:szCs w:val="24"/>
        </w:rPr>
        <w:t>[19-21]</w:t>
      </w:r>
      <w:r w:rsidRPr="00D51FCD">
        <w:rPr>
          <w:rFonts w:ascii="Times New Roman" w:hAnsi="Times New Roman" w:cs="Times New Roman"/>
          <w:sz w:val="24"/>
          <w:szCs w:val="24"/>
        </w:rPr>
        <w:t xml:space="preserve">, while the three component DESs (ChCl-PEG-Gly) were new DESs that were formulated in this study. The respective molar ratio used for the DESs were shown in </w:t>
      </w:r>
      <w:r w:rsidRPr="00D51FCD">
        <w:rPr>
          <w:rFonts w:ascii="Times New Roman" w:hAnsi="Times New Roman" w:cs="Times New Roman"/>
          <w:sz w:val="24"/>
          <w:szCs w:val="24"/>
        </w:rPr>
        <w:fldChar w:fldCharType="begin"/>
      </w:r>
      <w:r w:rsidRPr="00D51FCD">
        <w:rPr>
          <w:rFonts w:ascii="Times New Roman" w:hAnsi="Times New Roman" w:cs="Times New Roman"/>
          <w:sz w:val="24"/>
          <w:szCs w:val="24"/>
        </w:rPr>
        <w:instrText xml:space="preserve"> REF _Ref479178119 \h  \* MERGEFORMAT </w:instrText>
      </w:r>
      <w:r w:rsidRPr="00D51FCD">
        <w:rPr>
          <w:rFonts w:ascii="Times New Roman" w:hAnsi="Times New Roman" w:cs="Times New Roman"/>
          <w:sz w:val="24"/>
          <w:szCs w:val="24"/>
        </w:rPr>
      </w:r>
      <w:r w:rsidRPr="00D51FCD">
        <w:rPr>
          <w:rFonts w:ascii="Times New Roman" w:hAnsi="Times New Roman" w:cs="Times New Roman"/>
          <w:sz w:val="24"/>
          <w:szCs w:val="24"/>
        </w:rPr>
        <w:fldChar w:fldCharType="separate"/>
      </w:r>
      <w:r w:rsidR="00972478" w:rsidRPr="00D51FCD">
        <w:rPr>
          <w:rFonts w:ascii="Times New Roman" w:hAnsi="Times New Roman" w:cs="Times New Roman"/>
          <w:sz w:val="24"/>
          <w:szCs w:val="24"/>
        </w:rPr>
        <w:t xml:space="preserve">Table </w:t>
      </w:r>
      <w:r w:rsidRPr="00D51FCD">
        <w:rPr>
          <w:rFonts w:ascii="Times New Roman" w:hAnsi="Times New Roman" w:cs="Times New Roman"/>
          <w:sz w:val="24"/>
          <w:szCs w:val="24"/>
        </w:rPr>
        <w:t>1</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The DES was prepared by simple mixing and heating with a magnetic stirrer until a homogenous colourless liquid was formed.</w:t>
      </w:r>
      <w:bookmarkStart w:id="1" w:name="_Ref479178119"/>
      <w:bookmarkStart w:id="2" w:name="_Toc479690603"/>
      <w:r w:rsidR="000A10BE" w:rsidRPr="00D51FCD">
        <w:rPr>
          <w:rFonts w:ascii="Times New Roman" w:hAnsi="Times New Roman" w:cs="Times New Roman"/>
          <w:sz w:val="24"/>
          <w:szCs w:val="24"/>
        </w:rPr>
        <w:t xml:space="preserve">The nanolubricants or nanofluids were prepared by adding 0.01%, 0.05% and 0.10% by weight of F-MWCNTs to each of the DES samples in vials as represented in </w:t>
      </w:r>
      <w:r w:rsidR="000A10BE" w:rsidRPr="00D51FCD">
        <w:rPr>
          <w:rFonts w:ascii="Times New Roman" w:hAnsi="Times New Roman" w:cs="Times New Roman"/>
          <w:sz w:val="24"/>
          <w:szCs w:val="24"/>
        </w:rPr>
        <w:fldChar w:fldCharType="begin"/>
      </w:r>
      <w:r w:rsidR="000A10BE" w:rsidRPr="00D51FCD">
        <w:rPr>
          <w:rFonts w:ascii="Times New Roman" w:hAnsi="Times New Roman" w:cs="Times New Roman"/>
          <w:sz w:val="24"/>
          <w:szCs w:val="24"/>
        </w:rPr>
        <w:instrText xml:space="preserve"> REF _Ref479628575 \h  \* MERGEFORMAT </w:instrText>
      </w:r>
      <w:r w:rsidR="000A10BE" w:rsidRPr="00D51FCD">
        <w:rPr>
          <w:rFonts w:ascii="Times New Roman" w:hAnsi="Times New Roman" w:cs="Times New Roman"/>
          <w:sz w:val="24"/>
          <w:szCs w:val="24"/>
        </w:rPr>
      </w:r>
      <w:r w:rsidR="000A10BE" w:rsidRPr="00D51FCD">
        <w:rPr>
          <w:rFonts w:ascii="Times New Roman" w:hAnsi="Times New Roman" w:cs="Times New Roman"/>
          <w:sz w:val="24"/>
          <w:szCs w:val="24"/>
        </w:rPr>
        <w:fldChar w:fldCharType="separate"/>
      </w:r>
      <w:r w:rsidR="000A10BE" w:rsidRPr="00D51FCD">
        <w:rPr>
          <w:rFonts w:ascii="Times New Roman" w:hAnsi="Times New Roman" w:cs="Times New Roman"/>
          <w:sz w:val="24"/>
          <w:szCs w:val="24"/>
        </w:rPr>
        <w:t>Table 2</w:t>
      </w:r>
      <w:r w:rsidR="000A10BE" w:rsidRPr="00D51FCD">
        <w:rPr>
          <w:rFonts w:ascii="Times New Roman" w:hAnsi="Times New Roman" w:cs="Times New Roman"/>
          <w:sz w:val="24"/>
          <w:szCs w:val="24"/>
        </w:rPr>
        <w:fldChar w:fldCharType="end"/>
      </w:r>
      <w:r w:rsidR="000A10BE" w:rsidRPr="00D51FCD">
        <w:rPr>
          <w:rFonts w:ascii="Times New Roman" w:hAnsi="Times New Roman" w:cs="Times New Roman"/>
          <w:sz w:val="24"/>
          <w:szCs w:val="24"/>
        </w:rPr>
        <w:t>. The mixture was then sonicated using an ultrasonic water bath with frequency of 37 kHz and 70 W power rating for a duration of four hours. Parafilm was used to seal tightly the cap of the vials.</w:t>
      </w:r>
    </w:p>
    <w:p w:rsidR="000A10BE" w:rsidRPr="00D51FCD" w:rsidRDefault="000A10BE" w:rsidP="000A10BE">
      <w:pPr>
        <w:pStyle w:val="Caption"/>
        <w:jc w:val="center"/>
        <w:rPr>
          <w:rFonts w:cs="Times New Roman"/>
          <w:b/>
          <w:i w:val="0"/>
          <w:color w:val="auto"/>
          <w:sz w:val="24"/>
          <w:szCs w:val="24"/>
        </w:rPr>
      </w:pPr>
    </w:p>
    <w:p w:rsidR="008E3B4F" w:rsidRPr="00D51FCD" w:rsidRDefault="00972478" w:rsidP="000A10BE">
      <w:pPr>
        <w:pStyle w:val="Caption"/>
        <w:jc w:val="center"/>
        <w:rPr>
          <w:rFonts w:cs="Times New Roman"/>
          <w:b/>
          <w:i w:val="0"/>
          <w:iCs w:val="0"/>
          <w:color w:val="auto"/>
          <w:sz w:val="24"/>
          <w:szCs w:val="24"/>
        </w:rPr>
      </w:pPr>
      <w:r w:rsidRPr="00D51FCD">
        <w:rPr>
          <w:rFonts w:cs="Times New Roman"/>
          <w:b/>
          <w:i w:val="0"/>
          <w:color w:val="auto"/>
          <w:sz w:val="24"/>
          <w:szCs w:val="24"/>
        </w:rPr>
        <w:t xml:space="preserve">Table </w:t>
      </w:r>
      <w:r w:rsidR="008E3B4F" w:rsidRPr="00D51FCD">
        <w:rPr>
          <w:rFonts w:cs="Times New Roman"/>
          <w:b/>
          <w:i w:val="0"/>
          <w:color w:val="auto"/>
          <w:sz w:val="24"/>
          <w:szCs w:val="24"/>
        </w:rPr>
        <w:fldChar w:fldCharType="begin"/>
      </w:r>
      <w:r w:rsidR="008E3B4F" w:rsidRPr="00D51FCD">
        <w:rPr>
          <w:rFonts w:cs="Times New Roman"/>
          <w:b/>
          <w:i w:val="0"/>
          <w:color w:val="auto"/>
          <w:sz w:val="24"/>
          <w:szCs w:val="24"/>
        </w:rPr>
        <w:instrText xml:space="preserve"> SEQ Table_3. \* ARABIC </w:instrText>
      </w:r>
      <w:r w:rsidR="008E3B4F" w:rsidRPr="00D51FCD">
        <w:rPr>
          <w:rFonts w:cs="Times New Roman"/>
          <w:b/>
          <w:i w:val="0"/>
          <w:color w:val="auto"/>
          <w:sz w:val="24"/>
          <w:szCs w:val="24"/>
        </w:rPr>
        <w:fldChar w:fldCharType="separate"/>
      </w:r>
      <w:r w:rsidR="008E3B4F" w:rsidRPr="00D51FCD">
        <w:rPr>
          <w:rFonts w:cs="Times New Roman"/>
          <w:b/>
          <w:i w:val="0"/>
          <w:noProof/>
          <w:color w:val="auto"/>
          <w:sz w:val="24"/>
          <w:szCs w:val="24"/>
        </w:rPr>
        <w:t>1</w:t>
      </w:r>
      <w:r w:rsidR="008E3B4F" w:rsidRPr="00D51FCD">
        <w:rPr>
          <w:rFonts w:cs="Times New Roman"/>
          <w:b/>
          <w:i w:val="0"/>
          <w:color w:val="auto"/>
          <w:sz w:val="24"/>
          <w:szCs w:val="24"/>
        </w:rPr>
        <w:fldChar w:fldCharType="end"/>
      </w:r>
      <w:bookmarkEnd w:id="1"/>
      <w:r w:rsidR="008E3B4F" w:rsidRPr="00D51FCD">
        <w:rPr>
          <w:rFonts w:cs="Times New Roman"/>
          <w:b/>
          <w:i w:val="0"/>
          <w:color w:val="auto"/>
          <w:sz w:val="24"/>
          <w:szCs w:val="24"/>
        </w:rPr>
        <w:t xml:space="preserve"> Different molar ratio of salt: HBDs and their abbreviations</w:t>
      </w:r>
      <w:bookmarkEnd w:id="2"/>
    </w:p>
    <w:tbl>
      <w:tblPr>
        <w:tblStyle w:val="TableGrid1"/>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1507"/>
        <w:gridCol w:w="1870"/>
        <w:gridCol w:w="1424"/>
        <w:gridCol w:w="1705"/>
      </w:tblGrid>
      <w:tr w:rsidR="008E3B4F" w:rsidRPr="00D51FCD" w:rsidTr="000A10BE">
        <w:trPr>
          <w:trHeight w:val="133"/>
        </w:trPr>
        <w:tc>
          <w:tcPr>
            <w:tcW w:w="1938" w:type="dxa"/>
            <w:tcBorders>
              <w:top w:val="single" w:sz="4" w:space="0" w:color="auto"/>
              <w:bottom w:val="single" w:sz="4" w:space="0" w:color="auto"/>
            </w:tcBorders>
          </w:tcPr>
          <w:p w:rsidR="008E3B4F" w:rsidRPr="00D51FCD" w:rsidRDefault="008E3B4F" w:rsidP="000A10BE">
            <w:pPr>
              <w:jc w:val="center"/>
              <w:rPr>
                <w:rFonts w:ascii="Times New Roman" w:hAnsi="Times New Roman" w:cs="Times New Roman"/>
                <w:b/>
                <w:sz w:val="24"/>
                <w:szCs w:val="24"/>
              </w:rPr>
            </w:pPr>
            <w:r w:rsidRPr="00D51FCD">
              <w:rPr>
                <w:rFonts w:ascii="Times New Roman" w:hAnsi="Times New Roman" w:cs="Times New Roman"/>
                <w:b/>
                <w:sz w:val="24"/>
                <w:szCs w:val="24"/>
              </w:rPr>
              <w:t>Salt</w:t>
            </w:r>
          </w:p>
        </w:tc>
        <w:tc>
          <w:tcPr>
            <w:tcW w:w="3377" w:type="dxa"/>
            <w:gridSpan w:val="2"/>
            <w:tcBorders>
              <w:top w:val="single" w:sz="4" w:space="0" w:color="auto"/>
              <w:bottom w:val="single" w:sz="4" w:space="0" w:color="auto"/>
            </w:tcBorders>
          </w:tcPr>
          <w:p w:rsidR="008E3B4F" w:rsidRPr="00D51FCD" w:rsidRDefault="008E3B4F" w:rsidP="000A10BE">
            <w:pPr>
              <w:jc w:val="center"/>
              <w:rPr>
                <w:rFonts w:ascii="Times New Roman" w:hAnsi="Times New Roman" w:cs="Times New Roman"/>
                <w:b/>
                <w:sz w:val="24"/>
                <w:szCs w:val="24"/>
              </w:rPr>
            </w:pPr>
            <w:r w:rsidRPr="00D51FCD">
              <w:rPr>
                <w:rFonts w:ascii="Times New Roman" w:hAnsi="Times New Roman" w:cs="Times New Roman"/>
                <w:b/>
                <w:sz w:val="24"/>
                <w:szCs w:val="24"/>
              </w:rPr>
              <w:t>HBDs</w:t>
            </w:r>
          </w:p>
        </w:tc>
        <w:tc>
          <w:tcPr>
            <w:tcW w:w="1424" w:type="dxa"/>
            <w:tcBorders>
              <w:top w:val="single" w:sz="4" w:space="0" w:color="auto"/>
              <w:bottom w:val="single" w:sz="4" w:space="0" w:color="auto"/>
            </w:tcBorders>
          </w:tcPr>
          <w:p w:rsidR="008E3B4F" w:rsidRPr="00D51FCD" w:rsidRDefault="008E3B4F" w:rsidP="000A10BE">
            <w:pPr>
              <w:jc w:val="center"/>
              <w:rPr>
                <w:rFonts w:ascii="Times New Roman" w:hAnsi="Times New Roman" w:cs="Times New Roman"/>
                <w:b/>
                <w:sz w:val="24"/>
                <w:szCs w:val="24"/>
              </w:rPr>
            </w:pPr>
            <w:r w:rsidRPr="00D51FCD">
              <w:rPr>
                <w:rFonts w:ascii="Times New Roman" w:hAnsi="Times New Roman" w:cs="Times New Roman"/>
                <w:b/>
                <w:sz w:val="24"/>
                <w:szCs w:val="24"/>
              </w:rPr>
              <w:t>Molar Ratio</w:t>
            </w:r>
          </w:p>
        </w:tc>
        <w:tc>
          <w:tcPr>
            <w:tcW w:w="1705" w:type="dxa"/>
            <w:tcBorders>
              <w:top w:val="single" w:sz="4" w:space="0" w:color="auto"/>
              <w:bottom w:val="single" w:sz="4" w:space="0" w:color="auto"/>
            </w:tcBorders>
          </w:tcPr>
          <w:p w:rsidR="008E3B4F" w:rsidRPr="00D51FCD" w:rsidRDefault="008E3B4F" w:rsidP="000A10BE">
            <w:pPr>
              <w:jc w:val="center"/>
              <w:rPr>
                <w:rFonts w:ascii="Times New Roman" w:hAnsi="Times New Roman" w:cs="Times New Roman"/>
                <w:b/>
                <w:sz w:val="24"/>
                <w:szCs w:val="24"/>
              </w:rPr>
            </w:pPr>
            <w:r w:rsidRPr="00D51FCD">
              <w:rPr>
                <w:rFonts w:ascii="Times New Roman" w:hAnsi="Times New Roman" w:cs="Times New Roman"/>
                <w:b/>
                <w:sz w:val="24"/>
                <w:szCs w:val="24"/>
              </w:rPr>
              <w:t>Abbreviation</w:t>
            </w:r>
          </w:p>
        </w:tc>
      </w:tr>
      <w:tr w:rsidR="008E3B4F" w:rsidRPr="00D51FCD" w:rsidTr="000A10BE">
        <w:trPr>
          <w:trHeight w:val="240"/>
        </w:trPr>
        <w:tc>
          <w:tcPr>
            <w:tcW w:w="1938" w:type="dxa"/>
            <w:vMerge w:val="restart"/>
            <w:tcBorders>
              <w:top w:val="single" w:sz="4" w:space="0" w:color="auto"/>
            </w:tcBorders>
            <w:vAlign w:val="center"/>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Choline Chloride</w:t>
            </w:r>
          </w:p>
        </w:tc>
        <w:tc>
          <w:tcPr>
            <w:tcW w:w="3377" w:type="dxa"/>
            <w:gridSpan w:val="2"/>
            <w:vMerge w:val="restart"/>
            <w:tcBorders>
              <w:top w:val="single" w:sz="4" w:space="0" w:color="auto"/>
            </w:tcBorders>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Glycerol</w:t>
            </w:r>
          </w:p>
        </w:tc>
        <w:tc>
          <w:tcPr>
            <w:tcW w:w="1424" w:type="dxa"/>
            <w:tcBorders>
              <w:top w:val="single" w:sz="4" w:space="0" w:color="auto"/>
            </w:tcBorders>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1:2</w:t>
            </w:r>
          </w:p>
        </w:tc>
        <w:tc>
          <w:tcPr>
            <w:tcW w:w="1705" w:type="dxa"/>
            <w:tcBorders>
              <w:top w:val="single" w:sz="4" w:space="0" w:color="auto"/>
            </w:tcBorders>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DES 1</w:t>
            </w:r>
          </w:p>
        </w:tc>
      </w:tr>
      <w:tr w:rsidR="008E3B4F" w:rsidRPr="00D51FCD" w:rsidTr="000A10BE">
        <w:trPr>
          <w:trHeight w:val="263"/>
        </w:trPr>
        <w:tc>
          <w:tcPr>
            <w:tcW w:w="1938" w:type="dxa"/>
            <w:vMerge/>
          </w:tcPr>
          <w:p w:rsidR="008E3B4F" w:rsidRPr="00D51FCD" w:rsidRDefault="008E3B4F" w:rsidP="000A10BE">
            <w:pPr>
              <w:jc w:val="center"/>
              <w:rPr>
                <w:rFonts w:ascii="Times New Roman" w:hAnsi="Times New Roman" w:cs="Times New Roman"/>
                <w:sz w:val="24"/>
                <w:szCs w:val="24"/>
              </w:rPr>
            </w:pPr>
          </w:p>
        </w:tc>
        <w:tc>
          <w:tcPr>
            <w:tcW w:w="3377" w:type="dxa"/>
            <w:gridSpan w:val="2"/>
            <w:vMerge/>
          </w:tcPr>
          <w:p w:rsidR="008E3B4F" w:rsidRPr="00D51FCD" w:rsidRDefault="008E3B4F" w:rsidP="000A10BE">
            <w:pPr>
              <w:jc w:val="center"/>
              <w:rPr>
                <w:rFonts w:ascii="Times New Roman" w:hAnsi="Times New Roman" w:cs="Times New Roman"/>
                <w:sz w:val="24"/>
                <w:szCs w:val="24"/>
              </w:rPr>
            </w:pPr>
          </w:p>
        </w:tc>
        <w:tc>
          <w:tcPr>
            <w:tcW w:w="1424" w:type="dxa"/>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1:3</w:t>
            </w:r>
          </w:p>
        </w:tc>
        <w:tc>
          <w:tcPr>
            <w:tcW w:w="1705" w:type="dxa"/>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DES 2</w:t>
            </w:r>
          </w:p>
        </w:tc>
      </w:tr>
      <w:tr w:rsidR="008E3B4F" w:rsidRPr="00D51FCD" w:rsidTr="000A10BE">
        <w:trPr>
          <w:trHeight w:val="252"/>
        </w:trPr>
        <w:tc>
          <w:tcPr>
            <w:tcW w:w="1938" w:type="dxa"/>
            <w:vMerge/>
          </w:tcPr>
          <w:p w:rsidR="008E3B4F" w:rsidRPr="00D51FCD" w:rsidRDefault="008E3B4F" w:rsidP="000A10BE">
            <w:pPr>
              <w:jc w:val="center"/>
              <w:rPr>
                <w:rFonts w:ascii="Times New Roman" w:hAnsi="Times New Roman" w:cs="Times New Roman"/>
                <w:sz w:val="24"/>
                <w:szCs w:val="24"/>
              </w:rPr>
            </w:pPr>
          </w:p>
        </w:tc>
        <w:tc>
          <w:tcPr>
            <w:tcW w:w="3377" w:type="dxa"/>
            <w:gridSpan w:val="2"/>
            <w:vMerge/>
          </w:tcPr>
          <w:p w:rsidR="008E3B4F" w:rsidRPr="00D51FCD" w:rsidRDefault="008E3B4F" w:rsidP="000A10BE">
            <w:pPr>
              <w:jc w:val="center"/>
              <w:rPr>
                <w:rFonts w:ascii="Times New Roman" w:hAnsi="Times New Roman" w:cs="Times New Roman"/>
                <w:sz w:val="24"/>
                <w:szCs w:val="24"/>
              </w:rPr>
            </w:pPr>
          </w:p>
        </w:tc>
        <w:tc>
          <w:tcPr>
            <w:tcW w:w="1424" w:type="dxa"/>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1:4</w:t>
            </w:r>
          </w:p>
        </w:tc>
        <w:tc>
          <w:tcPr>
            <w:tcW w:w="1705" w:type="dxa"/>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DES 3</w:t>
            </w:r>
          </w:p>
        </w:tc>
      </w:tr>
      <w:tr w:rsidR="008E3B4F" w:rsidRPr="00D51FCD" w:rsidTr="000A10BE">
        <w:trPr>
          <w:trHeight w:val="252"/>
        </w:trPr>
        <w:tc>
          <w:tcPr>
            <w:tcW w:w="1938" w:type="dxa"/>
            <w:vMerge/>
          </w:tcPr>
          <w:p w:rsidR="008E3B4F" w:rsidRPr="00D51FCD" w:rsidRDefault="008E3B4F" w:rsidP="000A10BE">
            <w:pPr>
              <w:jc w:val="center"/>
              <w:rPr>
                <w:rFonts w:ascii="Times New Roman" w:hAnsi="Times New Roman" w:cs="Times New Roman"/>
                <w:sz w:val="24"/>
                <w:szCs w:val="24"/>
              </w:rPr>
            </w:pPr>
          </w:p>
        </w:tc>
        <w:tc>
          <w:tcPr>
            <w:tcW w:w="3377" w:type="dxa"/>
            <w:gridSpan w:val="2"/>
            <w:vMerge/>
            <w:tcBorders>
              <w:bottom w:val="single" w:sz="4" w:space="0" w:color="auto"/>
            </w:tcBorders>
          </w:tcPr>
          <w:p w:rsidR="008E3B4F" w:rsidRPr="00D51FCD" w:rsidRDefault="008E3B4F" w:rsidP="000A10BE">
            <w:pPr>
              <w:jc w:val="center"/>
              <w:rPr>
                <w:rFonts w:ascii="Times New Roman" w:hAnsi="Times New Roman" w:cs="Times New Roman"/>
                <w:sz w:val="24"/>
                <w:szCs w:val="24"/>
              </w:rPr>
            </w:pPr>
          </w:p>
        </w:tc>
        <w:tc>
          <w:tcPr>
            <w:tcW w:w="1424" w:type="dxa"/>
            <w:tcBorders>
              <w:bottom w:val="single" w:sz="4" w:space="0" w:color="auto"/>
            </w:tcBorders>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1:5</w:t>
            </w:r>
          </w:p>
        </w:tc>
        <w:tc>
          <w:tcPr>
            <w:tcW w:w="1705" w:type="dxa"/>
            <w:tcBorders>
              <w:bottom w:val="single" w:sz="4" w:space="0" w:color="auto"/>
            </w:tcBorders>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DES 4</w:t>
            </w:r>
          </w:p>
        </w:tc>
      </w:tr>
      <w:tr w:rsidR="008E3B4F" w:rsidRPr="00D51FCD" w:rsidTr="000A10BE">
        <w:trPr>
          <w:trHeight w:val="263"/>
        </w:trPr>
        <w:tc>
          <w:tcPr>
            <w:tcW w:w="1938" w:type="dxa"/>
            <w:vMerge/>
          </w:tcPr>
          <w:p w:rsidR="008E3B4F" w:rsidRPr="00D51FCD" w:rsidRDefault="008E3B4F" w:rsidP="000A10BE">
            <w:pPr>
              <w:jc w:val="center"/>
              <w:rPr>
                <w:rFonts w:ascii="Times New Roman" w:hAnsi="Times New Roman" w:cs="Times New Roman"/>
                <w:sz w:val="24"/>
                <w:szCs w:val="24"/>
              </w:rPr>
            </w:pPr>
          </w:p>
        </w:tc>
        <w:tc>
          <w:tcPr>
            <w:tcW w:w="1507" w:type="dxa"/>
            <w:vMerge w:val="restart"/>
            <w:tcBorders>
              <w:top w:val="single" w:sz="4" w:space="0" w:color="auto"/>
            </w:tcBorders>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Polyethylene Glycol 600</w:t>
            </w:r>
          </w:p>
        </w:tc>
        <w:tc>
          <w:tcPr>
            <w:tcW w:w="1869" w:type="dxa"/>
            <w:vMerge w:val="restart"/>
            <w:tcBorders>
              <w:top w:val="single" w:sz="4" w:space="0" w:color="auto"/>
            </w:tcBorders>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Glycerol</w:t>
            </w:r>
          </w:p>
        </w:tc>
        <w:tc>
          <w:tcPr>
            <w:tcW w:w="1424" w:type="dxa"/>
            <w:tcBorders>
              <w:top w:val="single" w:sz="4" w:space="0" w:color="auto"/>
            </w:tcBorders>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1:3:2</w:t>
            </w:r>
          </w:p>
        </w:tc>
        <w:tc>
          <w:tcPr>
            <w:tcW w:w="1705" w:type="dxa"/>
            <w:tcBorders>
              <w:top w:val="single" w:sz="4" w:space="0" w:color="auto"/>
            </w:tcBorders>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DES 5</w:t>
            </w:r>
          </w:p>
        </w:tc>
      </w:tr>
      <w:tr w:rsidR="008E3B4F" w:rsidRPr="00D51FCD" w:rsidTr="000A10BE">
        <w:trPr>
          <w:trHeight w:val="252"/>
        </w:trPr>
        <w:tc>
          <w:tcPr>
            <w:tcW w:w="1938" w:type="dxa"/>
            <w:vMerge/>
          </w:tcPr>
          <w:p w:rsidR="008E3B4F" w:rsidRPr="00D51FCD" w:rsidRDefault="008E3B4F" w:rsidP="000A10BE">
            <w:pPr>
              <w:jc w:val="center"/>
              <w:rPr>
                <w:rFonts w:ascii="Times New Roman" w:hAnsi="Times New Roman" w:cs="Times New Roman"/>
                <w:sz w:val="24"/>
                <w:szCs w:val="24"/>
              </w:rPr>
            </w:pPr>
          </w:p>
        </w:tc>
        <w:tc>
          <w:tcPr>
            <w:tcW w:w="1507" w:type="dxa"/>
            <w:vMerge/>
          </w:tcPr>
          <w:p w:rsidR="008E3B4F" w:rsidRPr="00D51FCD" w:rsidRDefault="008E3B4F" w:rsidP="000A10BE">
            <w:pPr>
              <w:jc w:val="center"/>
              <w:rPr>
                <w:rFonts w:ascii="Times New Roman" w:hAnsi="Times New Roman" w:cs="Times New Roman"/>
                <w:sz w:val="24"/>
                <w:szCs w:val="24"/>
              </w:rPr>
            </w:pPr>
          </w:p>
        </w:tc>
        <w:tc>
          <w:tcPr>
            <w:tcW w:w="1869" w:type="dxa"/>
            <w:vMerge/>
          </w:tcPr>
          <w:p w:rsidR="008E3B4F" w:rsidRPr="00D51FCD" w:rsidRDefault="008E3B4F" w:rsidP="000A10BE">
            <w:pPr>
              <w:jc w:val="center"/>
              <w:rPr>
                <w:rFonts w:ascii="Times New Roman" w:hAnsi="Times New Roman" w:cs="Times New Roman"/>
                <w:sz w:val="24"/>
                <w:szCs w:val="24"/>
              </w:rPr>
            </w:pPr>
          </w:p>
        </w:tc>
        <w:tc>
          <w:tcPr>
            <w:tcW w:w="1424" w:type="dxa"/>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1:4:2</w:t>
            </w:r>
          </w:p>
        </w:tc>
        <w:tc>
          <w:tcPr>
            <w:tcW w:w="1705" w:type="dxa"/>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DES 6</w:t>
            </w:r>
          </w:p>
        </w:tc>
      </w:tr>
      <w:tr w:rsidR="008E3B4F" w:rsidRPr="00D51FCD" w:rsidTr="000A10BE">
        <w:trPr>
          <w:trHeight w:val="240"/>
        </w:trPr>
        <w:tc>
          <w:tcPr>
            <w:tcW w:w="1938" w:type="dxa"/>
            <w:vMerge/>
            <w:tcBorders>
              <w:bottom w:val="single" w:sz="4" w:space="0" w:color="auto"/>
            </w:tcBorders>
          </w:tcPr>
          <w:p w:rsidR="008E3B4F" w:rsidRPr="00D51FCD" w:rsidRDefault="008E3B4F" w:rsidP="000A10BE">
            <w:pPr>
              <w:jc w:val="center"/>
              <w:rPr>
                <w:rFonts w:ascii="Times New Roman" w:hAnsi="Times New Roman" w:cs="Times New Roman"/>
                <w:sz w:val="24"/>
                <w:szCs w:val="24"/>
              </w:rPr>
            </w:pPr>
          </w:p>
        </w:tc>
        <w:tc>
          <w:tcPr>
            <w:tcW w:w="1507" w:type="dxa"/>
            <w:vMerge/>
            <w:tcBorders>
              <w:bottom w:val="single" w:sz="4" w:space="0" w:color="auto"/>
            </w:tcBorders>
          </w:tcPr>
          <w:p w:rsidR="008E3B4F" w:rsidRPr="00D51FCD" w:rsidRDefault="008E3B4F" w:rsidP="000A10BE">
            <w:pPr>
              <w:jc w:val="center"/>
              <w:rPr>
                <w:rFonts w:ascii="Times New Roman" w:hAnsi="Times New Roman" w:cs="Times New Roman"/>
                <w:sz w:val="24"/>
                <w:szCs w:val="24"/>
              </w:rPr>
            </w:pPr>
          </w:p>
        </w:tc>
        <w:tc>
          <w:tcPr>
            <w:tcW w:w="1869" w:type="dxa"/>
            <w:vMerge/>
            <w:tcBorders>
              <w:bottom w:val="single" w:sz="4" w:space="0" w:color="auto"/>
            </w:tcBorders>
          </w:tcPr>
          <w:p w:rsidR="008E3B4F" w:rsidRPr="00D51FCD" w:rsidRDefault="008E3B4F" w:rsidP="000A10BE">
            <w:pPr>
              <w:jc w:val="center"/>
              <w:rPr>
                <w:rFonts w:ascii="Times New Roman" w:hAnsi="Times New Roman" w:cs="Times New Roman"/>
                <w:sz w:val="24"/>
                <w:szCs w:val="24"/>
              </w:rPr>
            </w:pPr>
          </w:p>
        </w:tc>
        <w:tc>
          <w:tcPr>
            <w:tcW w:w="1424" w:type="dxa"/>
            <w:tcBorders>
              <w:bottom w:val="single" w:sz="4" w:space="0" w:color="auto"/>
            </w:tcBorders>
          </w:tcPr>
          <w:p w:rsidR="008E3B4F" w:rsidRPr="00D51FCD" w:rsidRDefault="0099326C" w:rsidP="000A10BE">
            <w:pPr>
              <w:jc w:val="center"/>
              <w:rPr>
                <w:rFonts w:ascii="Times New Roman" w:hAnsi="Times New Roman" w:cs="Times New Roman"/>
                <w:sz w:val="24"/>
                <w:szCs w:val="24"/>
              </w:rPr>
            </w:pPr>
            <w:r w:rsidRPr="00D51FCD">
              <w:rPr>
                <w:rFonts w:ascii="Times New Roman" w:hAnsi="Times New Roman" w:cs="Times New Roman"/>
                <w:sz w:val="24"/>
                <w:szCs w:val="24"/>
              </w:rPr>
              <w:t>1:5:2</w:t>
            </w:r>
          </w:p>
        </w:tc>
        <w:tc>
          <w:tcPr>
            <w:tcW w:w="1705" w:type="dxa"/>
            <w:tcBorders>
              <w:bottom w:val="single" w:sz="4" w:space="0" w:color="auto"/>
            </w:tcBorders>
          </w:tcPr>
          <w:p w:rsidR="008E3B4F" w:rsidRPr="00D51FCD" w:rsidRDefault="008E3B4F" w:rsidP="000A10BE">
            <w:pPr>
              <w:jc w:val="center"/>
              <w:rPr>
                <w:rFonts w:ascii="Times New Roman" w:hAnsi="Times New Roman" w:cs="Times New Roman"/>
                <w:sz w:val="24"/>
                <w:szCs w:val="24"/>
              </w:rPr>
            </w:pPr>
            <w:r w:rsidRPr="00D51FCD">
              <w:rPr>
                <w:rFonts w:ascii="Times New Roman" w:hAnsi="Times New Roman" w:cs="Times New Roman"/>
                <w:sz w:val="24"/>
                <w:szCs w:val="24"/>
              </w:rPr>
              <w:t>DES 7</w:t>
            </w:r>
          </w:p>
        </w:tc>
      </w:tr>
    </w:tbl>
    <w:p w:rsidR="008E3B4F" w:rsidRPr="00D51FCD" w:rsidRDefault="008E3B4F" w:rsidP="000A10BE">
      <w:pPr>
        <w:spacing w:line="240" w:lineRule="auto"/>
        <w:ind w:firstLine="720"/>
        <w:jc w:val="both"/>
        <w:rPr>
          <w:rFonts w:ascii="Times New Roman" w:hAnsi="Times New Roman" w:cs="Times New Roman"/>
          <w:sz w:val="24"/>
          <w:szCs w:val="24"/>
        </w:rPr>
      </w:pPr>
    </w:p>
    <w:p w:rsidR="008E3B4F" w:rsidRPr="00D51FCD" w:rsidRDefault="00972478" w:rsidP="000A10BE">
      <w:pPr>
        <w:pStyle w:val="Caption"/>
        <w:jc w:val="center"/>
        <w:rPr>
          <w:rFonts w:cs="Times New Roman"/>
          <w:b/>
          <w:i w:val="0"/>
          <w:iCs w:val="0"/>
          <w:color w:val="auto"/>
          <w:sz w:val="24"/>
          <w:szCs w:val="24"/>
        </w:rPr>
      </w:pPr>
      <w:bookmarkStart w:id="3" w:name="_Ref479628575"/>
      <w:bookmarkStart w:id="4" w:name="_Toc479690604"/>
      <w:r w:rsidRPr="00D51FCD">
        <w:rPr>
          <w:rFonts w:cs="Times New Roman"/>
          <w:b/>
          <w:i w:val="0"/>
          <w:color w:val="auto"/>
          <w:sz w:val="24"/>
          <w:szCs w:val="24"/>
        </w:rPr>
        <w:t xml:space="preserve">Table </w:t>
      </w:r>
      <w:r w:rsidR="008E3B4F" w:rsidRPr="00D51FCD">
        <w:rPr>
          <w:rFonts w:cs="Times New Roman"/>
          <w:b/>
          <w:i w:val="0"/>
          <w:color w:val="auto"/>
          <w:sz w:val="24"/>
          <w:szCs w:val="24"/>
        </w:rPr>
        <w:fldChar w:fldCharType="begin"/>
      </w:r>
      <w:r w:rsidR="008E3B4F" w:rsidRPr="00D51FCD">
        <w:rPr>
          <w:rFonts w:cs="Times New Roman"/>
          <w:b/>
          <w:i w:val="0"/>
          <w:color w:val="auto"/>
          <w:sz w:val="24"/>
          <w:szCs w:val="24"/>
        </w:rPr>
        <w:instrText xml:space="preserve"> SEQ Table_3. \* ARABIC </w:instrText>
      </w:r>
      <w:r w:rsidR="008E3B4F" w:rsidRPr="00D51FCD">
        <w:rPr>
          <w:rFonts w:cs="Times New Roman"/>
          <w:b/>
          <w:i w:val="0"/>
          <w:color w:val="auto"/>
          <w:sz w:val="24"/>
          <w:szCs w:val="24"/>
        </w:rPr>
        <w:fldChar w:fldCharType="separate"/>
      </w:r>
      <w:r w:rsidR="008E3B4F" w:rsidRPr="00D51FCD">
        <w:rPr>
          <w:rFonts w:cs="Times New Roman"/>
          <w:b/>
          <w:i w:val="0"/>
          <w:noProof/>
          <w:color w:val="auto"/>
          <w:sz w:val="24"/>
          <w:szCs w:val="24"/>
        </w:rPr>
        <w:t>2</w:t>
      </w:r>
      <w:r w:rsidR="008E3B4F" w:rsidRPr="00D51FCD">
        <w:rPr>
          <w:rFonts w:cs="Times New Roman"/>
          <w:b/>
          <w:i w:val="0"/>
          <w:color w:val="auto"/>
          <w:sz w:val="24"/>
          <w:szCs w:val="24"/>
        </w:rPr>
        <w:fldChar w:fldCharType="end"/>
      </w:r>
      <w:bookmarkEnd w:id="3"/>
      <w:r w:rsidR="008E3B4F" w:rsidRPr="00D51FCD">
        <w:rPr>
          <w:rFonts w:cs="Times New Roman"/>
          <w:b/>
          <w:i w:val="0"/>
          <w:color w:val="auto"/>
          <w:sz w:val="24"/>
          <w:szCs w:val="24"/>
        </w:rPr>
        <w:t xml:space="preserve"> Different concentrations of F-MWCNT added to DES with the respective abbreviation.</w:t>
      </w:r>
      <w:bookmarkEnd w:id="4"/>
    </w:p>
    <w:tbl>
      <w:tblPr>
        <w:tblW w:w="8555" w:type="dxa"/>
        <w:tblCellMar>
          <w:left w:w="0" w:type="dxa"/>
          <w:right w:w="0" w:type="dxa"/>
        </w:tblCellMar>
        <w:tblLook w:val="0420" w:firstRow="1" w:lastRow="0" w:firstColumn="0" w:lastColumn="0" w:noHBand="0" w:noVBand="1"/>
      </w:tblPr>
      <w:tblGrid>
        <w:gridCol w:w="2576"/>
        <w:gridCol w:w="3174"/>
        <w:gridCol w:w="2805"/>
      </w:tblGrid>
      <w:tr w:rsidR="008E3B4F" w:rsidRPr="00D51FCD" w:rsidTr="000A10BE">
        <w:trPr>
          <w:trHeight w:val="292"/>
        </w:trPr>
        <w:tc>
          <w:tcPr>
            <w:tcW w:w="2576" w:type="dxa"/>
            <w:tcBorders>
              <w:top w:val="single" w:sz="4" w:space="0" w:color="auto"/>
              <w:bottom w:val="single" w:sz="4" w:space="0" w:color="auto"/>
            </w:tcBorders>
            <w:shd w:val="clear" w:color="auto" w:fill="auto"/>
            <w:tcMar>
              <w:top w:w="72" w:type="dxa"/>
              <w:left w:w="144" w:type="dxa"/>
              <w:bottom w:w="72" w:type="dxa"/>
              <w:right w:w="144"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b/>
                <w:sz w:val="24"/>
                <w:szCs w:val="24"/>
                <w:lang w:eastAsia="en-MY"/>
              </w:rPr>
            </w:pPr>
            <w:r w:rsidRPr="00D51FCD">
              <w:rPr>
                <w:rFonts w:ascii="Times New Roman" w:eastAsia="Times New Roman" w:hAnsi="Times New Roman" w:cs="Times New Roman"/>
                <w:b/>
                <w:bCs/>
                <w:kern w:val="24"/>
                <w:sz w:val="24"/>
                <w:szCs w:val="24"/>
                <w:lang w:eastAsia="en-MY"/>
              </w:rPr>
              <w:t>Base</w:t>
            </w:r>
          </w:p>
        </w:tc>
        <w:tc>
          <w:tcPr>
            <w:tcW w:w="3174" w:type="dxa"/>
            <w:tcBorders>
              <w:top w:val="single" w:sz="4" w:space="0" w:color="auto"/>
              <w:bottom w:val="single" w:sz="4" w:space="0" w:color="auto"/>
            </w:tcBorders>
            <w:shd w:val="clear" w:color="auto" w:fill="auto"/>
            <w:tcMar>
              <w:top w:w="72" w:type="dxa"/>
              <w:left w:w="144" w:type="dxa"/>
              <w:bottom w:w="72" w:type="dxa"/>
              <w:right w:w="144"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b/>
                <w:sz w:val="24"/>
                <w:szCs w:val="24"/>
                <w:lang w:eastAsia="en-MY"/>
              </w:rPr>
            </w:pPr>
            <w:r w:rsidRPr="00D51FCD">
              <w:rPr>
                <w:rFonts w:ascii="Times New Roman" w:eastAsia="Times New Roman" w:hAnsi="Times New Roman" w:cs="Times New Roman"/>
                <w:b/>
                <w:bCs/>
                <w:kern w:val="24"/>
                <w:sz w:val="24"/>
                <w:szCs w:val="24"/>
                <w:lang w:eastAsia="en-MY"/>
              </w:rPr>
              <w:t>F-MWCNT (Wt. %)</w:t>
            </w:r>
          </w:p>
        </w:tc>
        <w:tc>
          <w:tcPr>
            <w:tcW w:w="2805" w:type="dxa"/>
            <w:tcBorders>
              <w:top w:val="single" w:sz="4" w:space="0" w:color="auto"/>
              <w:bottom w:val="single" w:sz="4" w:space="0" w:color="auto"/>
            </w:tcBorders>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b/>
                <w:sz w:val="24"/>
                <w:szCs w:val="24"/>
                <w:lang w:eastAsia="en-MY"/>
              </w:rPr>
            </w:pPr>
            <w:r w:rsidRPr="00D51FCD">
              <w:rPr>
                <w:rFonts w:ascii="Times New Roman" w:eastAsia="Times New Roman" w:hAnsi="Times New Roman" w:cs="Times New Roman"/>
                <w:b/>
                <w:bCs/>
                <w:kern w:val="24"/>
                <w:sz w:val="24"/>
                <w:szCs w:val="24"/>
                <w:lang w:eastAsia="en-MY"/>
              </w:rPr>
              <w:t>Abbreviation</w:t>
            </w:r>
          </w:p>
        </w:tc>
      </w:tr>
      <w:tr w:rsidR="008E3B4F" w:rsidRPr="00D51FCD" w:rsidTr="000A10BE">
        <w:trPr>
          <w:trHeight w:val="291"/>
        </w:trPr>
        <w:tc>
          <w:tcPr>
            <w:tcW w:w="2576" w:type="dxa"/>
            <w:vMerge w:val="restart"/>
            <w:tcBorders>
              <w:top w:val="single" w:sz="4" w:space="0" w:color="auto"/>
            </w:tcBorders>
            <w:shd w:val="clear" w:color="auto" w:fill="auto"/>
            <w:tcMar>
              <w:top w:w="72" w:type="dxa"/>
              <w:left w:w="144" w:type="dxa"/>
              <w:bottom w:w="72" w:type="dxa"/>
              <w:right w:w="144" w:type="dxa"/>
            </w:tcMar>
            <w:vAlign w:val="cente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DES 1</w:t>
            </w:r>
          </w:p>
        </w:tc>
        <w:tc>
          <w:tcPr>
            <w:tcW w:w="3174" w:type="dxa"/>
            <w:tcBorders>
              <w:top w:val="single" w:sz="4" w:space="0" w:color="auto"/>
            </w:tcBorders>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0.01</w:t>
            </w:r>
          </w:p>
        </w:tc>
        <w:tc>
          <w:tcPr>
            <w:tcW w:w="2805" w:type="dxa"/>
            <w:tcBorders>
              <w:top w:val="single" w:sz="4" w:space="0" w:color="auto"/>
            </w:tcBorders>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NF 1</w:t>
            </w:r>
          </w:p>
        </w:tc>
      </w:tr>
      <w:tr w:rsidR="008E3B4F" w:rsidRPr="00D51FCD" w:rsidTr="000A10BE">
        <w:trPr>
          <w:trHeight w:val="291"/>
        </w:trPr>
        <w:tc>
          <w:tcPr>
            <w:tcW w:w="0" w:type="auto"/>
            <w:vMerge/>
            <w:shd w:val="clear" w:color="auto" w:fill="auto"/>
            <w:vAlign w:val="center"/>
            <w:hideMark/>
          </w:tcPr>
          <w:p w:rsidR="008E3B4F" w:rsidRPr="00D51FCD" w:rsidRDefault="008E3B4F" w:rsidP="000A10BE">
            <w:pPr>
              <w:spacing w:after="0" w:line="240" w:lineRule="auto"/>
              <w:ind w:firstLine="720"/>
              <w:jc w:val="both"/>
              <w:rPr>
                <w:rFonts w:ascii="Times New Roman" w:eastAsia="Times New Roman" w:hAnsi="Times New Roman" w:cs="Times New Roman"/>
                <w:sz w:val="24"/>
                <w:szCs w:val="24"/>
                <w:lang w:eastAsia="en-MY"/>
              </w:rPr>
            </w:pPr>
          </w:p>
        </w:tc>
        <w:tc>
          <w:tcPr>
            <w:tcW w:w="3174" w:type="dxa"/>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0.05</w:t>
            </w:r>
          </w:p>
        </w:tc>
        <w:tc>
          <w:tcPr>
            <w:tcW w:w="2805" w:type="dxa"/>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NF 2</w:t>
            </w:r>
          </w:p>
        </w:tc>
      </w:tr>
      <w:tr w:rsidR="008E3B4F" w:rsidRPr="00D51FCD" w:rsidTr="000A10BE">
        <w:trPr>
          <w:trHeight w:val="291"/>
        </w:trPr>
        <w:tc>
          <w:tcPr>
            <w:tcW w:w="0" w:type="auto"/>
            <w:vMerge/>
            <w:tcBorders>
              <w:bottom w:val="single" w:sz="4" w:space="0" w:color="auto"/>
            </w:tcBorders>
            <w:shd w:val="clear" w:color="auto" w:fill="auto"/>
            <w:vAlign w:val="center"/>
            <w:hideMark/>
          </w:tcPr>
          <w:p w:rsidR="008E3B4F" w:rsidRPr="00D51FCD" w:rsidRDefault="008E3B4F" w:rsidP="000A10BE">
            <w:pPr>
              <w:spacing w:after="0" w:line="240" w:lineRule="auto"/>
              <w:ind w:firstLine="720"/>
              <w:jc w:val="both"/>
              <w:rPr>
                <w:rFonts w:ascii="Times New Roman" w:eastAsia="Times New Roman" w:hAnsi="Times New Roman" w:cs="Times New Roman"/>
                <w:sz w:val="24"/>
                <w:szCs w:val="24"/>
                <w:lang w:eastAsia="en-MY"/>
              </w:rPr>
            </w:pPr>
          </w:p>
        </w:tc>
        <w:tc>
          <w:tcPr>
            <w:tcW w:w="3174" w:type="dxa"/>
            <w:tcBorders>
              <w:bottom w:val="single" w:sz="4" w:space="0" w:color="auto"/>
            </w:tcBorders>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0.10</w:t>
            </w:r>
          </w:p>
        </w:tc>
        <w:tc>
          <w:tcPr>
            <w:tcW w:w="2805" w:type="dxa"/>
            <w:tcBorders>
              <w:bottom w:val="single" w:sz="4" w:space="0" w:color="auto"/>
            </w:tcBorders>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NF 3</w:t>
            </w:r>
          </w:p>
        </w:tc>
      </w:tr>
      <w:tr w:rsidR="008E3B4F" w:rsidRPr="00D51FCD" w:rsidTr="000A10BE">
        <w:trPr>
          <w:trHeight w:val="291"/>
        </w:trPr>
        <w:tc>
          <w:tcPr>
            <w:tcW w:w="2576" w:type="dxa"/>
            <w:vMerge w:val="restart"/>
            <w:tcBorders>
              <w:top w:val="single" w:sz="4" w:space="0" w:color="auto"/>
            </w:tcBorders>
            <w:shd w:val="clear" w:color="auto" w:fill="auto"/>
            <w:tcMar>
              <w:top w:w="72" w:type="dxa"/>
              <w:left w:w="144" w:type="dxa"/>
              <w:bottom w:w="72" w:type="dxa"/>
              <w:right w:w="144" w:type="dxa"/>
            </w:tcMar>
            <w:vAlign w:val="cente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DES 2</w:t>
            </w:r>
          </w:p>
        </w:tc>
        <w:tc>
          <w:tcPr>
            <w:tcW w:w="3174" w:type="dxa"/>
            <w:tcBorders>
              <w:top w:val="single" w:sz="4" w:space="0" w:color="auto"/>
            </w:tcBorders>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0.01</w:t>
            </w:r>
          </w:p>
        </w:tc>
        <w:tc>
          <w:tcPr>
            <w:tcW w:w="2805" w:type="dxa"/>
            <w:tcBorders>
              <w:top w:val="single" w:sz="4" w:space="0" w:color="auto"/>
            </w:tcBorders>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NF 4</w:t>
            </w:r>
          </w:p>
        </w:tc>
      </w:tr>
      <w:tr w:rsidR="008E3B4F" w:rsidRPr="00D51FCD" w:rsidTr="000A10BE">
        <w:trPr>
          <w:trHeight w:val="291"/>
        </w:trPr>
        <w:tc>
          <w:tcPr>
            <w:tcW w:w="0" w:type="auto"/>
            <w:vMerge/>
            <w:shd w:val="clear" w:color="auto" w:fill="auto"/>
            <w:vAlign w:val="center"/>
            <w:hideMark/>
          </w:tcPr>
          <w:p w:rsidR="008E3B4F" w:rsidRPr="00D51FCD" w:rsidRDefault="008E3B4F" w:rsidP="000A10BE">
            <w:pPr>
              <w:spacing w:after="0" w:line="240" w:lineRule="auto"/>
              <w:ind w:firstLine="720"/>
              <w:jc w:val="both"/>
              <w:rPr>
                <w:rFonts w:ascii="Times New Roman" w:eastAsia="Times New Roman" w:hAnsi="Times New Roman" w:cs="Times New Roman"/>
                <w:sz w:val="24"/>
                <w:szCs w:val="24"/>
                <w:lang w:eastAsia="en-MY"/>
              </w:rPr>
            </w:pPr>
          </w:p>
        </w:tc>
        <w:tc>
          <w:tcPr>
            <w:tcW w:w="3174" w:type="dxa"/>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0.05</w:t>
            </w:r>
          </w:p>
        </w:tc>
        <w:tc>
          <w:tcPr>
            <w:tcW w:w="2805" w:type="dxa"/>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NF 5</w:t>
            </w:r>
          </w:p>
        </w:tc>
      </w:tr>
      <w:tr w:rsidR="008E3B4F" w:rsidRPr="00D51FCD" w:rsidTr="000A10BE">
        <w:trPr>
          <w:trHeight w:val="291"/>
        </w:trPr>
        <w:tc>
          <w:tcPr>
            <w:tcW w:w="0" w:type="auto"/>
            <w:vMerge/>
            <w:tcBorders>
              <w:bottom w:val="single" w:sz="4" w:space="0" w:color="auto"/>
            </w:tcBorders>
            <w:shd w:val="clear" w:color="auto" w:fill="auto"/>
            <w:vAlign w:val="center"/>
            <w:hideMark/>
          </w:tcPr>
          <w:p w:rsidR="008E3B4F" w:rsidRPr="00D51FCD" w:rsidRDefault="008E3B4F" w:rsidP="000A10BE">
            <w:pPr>
              <w:spacing w:after="0" w:line="240" w:lineRule="auto"/>
              <w:ind w:firstLine="720"/>
              <w:jc w:val="both"/>
              <w:rPr>
                <w:rFonts w:ascii="Times New Roman" w:eastAsia="Times New Roman" w:hAnsi="Times New Roman" w:cs="Times New Roman"/>
                <w:sz w:val="24"/>
                <w:szCs w:val="24"/>
                <w:lang w:eastAsia="en-MY"/>
              </w:rPr>
            </w:pPr>
          </w:p>
        </w:tc>
        <w:tc>
          <w:tcPr>
            <w:tcW w:w="3174" w:type="dxa"/>
            <w:tcBorders>
              <w:bottom w:val="single" w:sz="4" w:space="0" w:color="auto"/>
            </w:tcBorders>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0.10</w:t>
            </w:r>
          </w:p>
        </w:tc>
        <w:tc>
          <w:tcPr>
            <w:tcW w:w="2805" w:type="dxa"/>
            <w:tcBorders>
              <w:bottom w:val="single" w:sz="4" w:space="0" w:color="auto"/>
            </w:tcBorders>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NF 6</w:t>
            </w:r>
          </w:p>
        </w:tc>
      </w:tr>
      <w:tr w:rsidR="008E3B4F" w:rsidRPr="00D51FCD" w:rsidTr="000A10BE">
        <w:trPr>
          <w:trHeight w:val="291"/>
        </w:trPr>
        <w:tc>
          <w:tcPr>
            <w:tcW w:w="2576" w:type="dxa"/>
            <w:vMerge w:val="restart"/>
            <w:tcBorders>
              <w:top w:val="single" w:sz="4" w:space="0" w:color="auto"/>
            </w:tcBorders>
            <w:shd w:val="clear" w:color="auto" w:fill="auto"/>
            <w:tcMar>
              <w:top w:w="72" w:type="dxa"/>
              <w:left w:w="144" w:type="dxa"/>
              <w:bottom w:w="72" w:type="dxa"/>
              <w:right w:w="144" w:type="dxa"/>
            </w:tcMar>
            <w:vAlign w:val="cente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DES 3</w:t>
            </w:r>
          </w:p>
        </w:tc>
        <w:tc>
          <w:tcPr>
            <w:tcW w:w="3174" w:type="dxa"/>
            <w:tcBorders>
              <w:top w:val="single" w:sz="4" w:space="0" w:color="auto"/>
            </w:tcBorders>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0.01</w:t>
            </w:r>
          </w:p>
        </w:tc>
        <w:tc>
          <w:tcPr>
            <w:tcW w:w="2805" w:type="dxa"/>
            <w:tcBorders>
              <w:top w:val="single" w:sz="4" w:space="0" w:color="auto"/>
            </w:tcBorders>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NF 7</w:t>
            </w:r>
          </w:p>
        </w:tc>
      </w:tr>
      <w:tr w:rsidR="008E3B4F" w:rsidRPr="00D51FCD" w:rsidTr="000A10BE">
        <w:trPr>
          <w:trHeight w:val="291"/>
        </w:trPr>
        <w:tc>
          <w:tcPr>
            <w:tcW w:w="0" w:type="auto"/>
            <w:vMerge/>
            <w:shd w:val="clear" w:color="auto" w:fill="auto"/>
            <w:vAlign w:val="center"/>
            <w:hideMark/>
          </w:tcPr>
          <w:p w:rsidR="008E3B4F" w:rsidRPr="00D51FCD" w:rsidRDefault="008E3B4F" w:rsidP="000A10BE">
            <w:pPr>
              <w:spacing w:after="0" w:line="240" w:lineRule="auto"/>
              <w:ind w:firstLine="720"/>
              <w:jc w:val="both"/>
              <w:rPr>
                <w:rFonts w:ascii="Times New Roman" w:eastAsia="Times New Roman" w:hAnsi="Times New Roman" w:cs="Times New Roman"/>
                <w:sz w:val="24"/>
                <w:szCs w:val="24"/>
                <w:lang w:eastAsia="en-MY"/>
              </w:rPr>
            </w:pPr>
          </w:p>
        </w:tc>
        <w:tc>
          <w:tcPr>
            <w:tcW w:w="3174" w:type="dxa"/>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0.05</w:t>
            </w:r>
          </w:p>
        </w:tc>
        <w:tc>
          <w:tcPr>
            <w:tcW w:w="2805" w:type="dxa"/>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NF 8</w:t>
            </w:r>
          </w:p>
        </w:tc>
      </w:tr>
      <w:tr w:rsidR="008E3B4F" w:rsidRPr="00D51FCD" w:rsidTr="000A10BE">
        <w:trPr>
          <w:trHeight w:val="291"/>
        </w:trPr>
        <w:tc>
          <w:tcPr>
            <w:tcW w:w="0" w:type="auto"/>
            <w:vMerge/>
            <w:tcBorders>
              <w:bottom w:val="single" w:sz="4" w:space="0" w:color="auto"/>
            </w:tcBorders>
            <w:shd w:val="clear" w:color="auto" w:fill="auto"/>
            <w:vAlign w:val="center"/>
            <w:hideMark/>
          </w:tcPr>
          <w:p w:rsidR="008E3B4F" w:rsidRPr="00D51FCD" w:rsidRDefault="008E3B4F" w:rsidP="000A10BE">
            <w:pPr>
              <w:spacing w:after="0" w:line="240" w:lineRule="auto"/>
              <w:ind w:firstLine="720"/>
              <w:jc w:val="both"/>
              <w:rPr>
                <w:rFonts w:ascii="Times New Roman" w:eastAsia="Times New Roman" w:hAnsi="Times New Roman" w:cs="Times New Roman"/>
                <w:sz w:val="24"/>
                <w:szCs w:val="24"/>
                <w:lang w:eastAsia="en-MY"/>
              </w:rPr>
            </w:pPr>
          </w:p>
        </w:tc>
        <w:tc>
          <w:tcPr>
            <w:tcW w:w="3174" w:type="dxa"/>
            <w:tcBorders>
              <w:bottom w:val="single" w:sz="4" w:space="0" w:color="auto"/>
            </w:tcBorders>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0.10</w:t>
            </w:r>
          </w:p>
        </w:tc>
        <w:tc>
          <w:tcPr>
            <w:tcW w:w="2805" w:type="dxa"/>
            <w:tcBorders>
              <w:bottom w:val="single" w:sz="4" w:space="0" w:color="auto"/>
            </w:tcBorders>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NF 9</w:t>
            </w:r>
          </w:p>
        </w:tc>
      </w:tr>
      <w:tr w:rsidR="008E3B4F" w:rsidRPr="00D51FCD" w:rsidTr="000A10BE">
        <w:trPr>
          <w:trHeight w:val="291"/>
        </w:trPr>
        <w:tc>
          <w:tcPr>
            <w:tcW w:w="2576" w:type="dxa"/>
            <w:vMerge w:val="restart"/>
            <w:tcBorders>
              <w:top w:val="single" w:sz="4" w:space="0" w:color="auto"/>
            </w:tcBorders>
            <w:shd w:val="clear" w:color="auto" w:fill="auto"/>
            <w:tcMar>
              <w:top w:w="72" w:type="dxa"/>
              <w:left w:w="144" w:type="dxa"/>
              <w:bottom w:w="72" w:type="dxa"/>
              <w:right w:w="144" w:type="dxa"/>
            </w:tcMar>
            <w:vAlign w:val="cente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DES 4</w:t>
            </w:r>
          </w:p>
        </w:tc>
        <w:tc>
          <w:tcPr>
            <w:tcW w:w="3174" w:type="dxa"/>
            <w:tcBorders>
              <w:top w:val="single" w:sz="4" w:space="0" w:color="auto"/>
            </w:tcBorders>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0.01</w:t>
            </w:r>
          </w:p>
        </w:tc>
        <w:tc>
          <w:tcPr>
            <w:tcW w:w="2805" w:type="dxa"/>
            <w:tcBorders>
              <w:top w:val="single" w:sz="4" w:space="0" w:color="auto"/>
            </w:tcBorders>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NF 10</w:t>
            </w:r>
          </w:p>
        </w:tc>
      </w:tr>
      <w:tr w:rsidR="008E3B4F" w:rsidRPr="00D51FCD" w:rsidTr="000A10BE">
        <w:trPr>
          <w:trHeight w:val="291"/>
        </w:trPr>
        <w:tc>
          <w:tcPr>
            <w:tcW w:w="0" w:type="auto"/>
            <w:vMerge/>
            <w:shd w:val="clear" w:color="auto" w:fill="auto"/>
            <w:vAlign w:val="cente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p>
        </w:tc>
        <w:tc>
          <w:tcPr>
            <w:tcW w:w="3174" w:type="dxa"/>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0.05</w:t>
            </w:r>
          </w:p>
        </w:tc>
        <w:tc>
          <w:tcPr>
            <w:tcW w:w="2805" w:type="dxa"/>
            <w:shd w:val="clear" w:color="auto" w:fill="auto"/>
            <w:tcMar>
              <w:top w:w="15" w:type="dxa"/>
              <w:left w:w="40" w:type="dxa"/>
              <w:bottom w:w="0" w:type="dxa"/>
              <w:right w:w="40" w:type="dxa"/>
            </w:tcMa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NF 11</w:t>
            </w:r>
          </w:p>
        </w:tc>
      </w:tr>
      <w:tr w:rsidR="008E3B4F" w:rsidRPr="00D51FCD" w:rsidTr="000A10BE">
        <w:trPr>
          <w:trHeight w:val="291"/>
        </w:trPr>
        <w:tc>
          <w:tcPr>
            <w:tcW w:w="0" w:type="auto"/>
            <w:vMerge/>
            <w:tcBorders>
              <w:bottom w:val="single" w:sz="4" w:space="0" w:color="auto"/>
            </w:tcBorders>
            <w:shd w:val="clear" w:color="auto" w:fill="auto"/>
            <w:vAlign w:val="cente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p>
        </w:tc>
        <w:tc>
          <w:tcPr>
            <w:tcW w:w="3174" w:type="dxa"/>
            <w:tcBorders>
              <w:bottom w:val="single" w:sz="4" w:space="0" w:color="auto"/>
            </w:tcBorders>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0.10</w:t>
            </w:r>
          </w:p>
        </w:tc>
        <w:tc>
          <w:tcPr>
            <w:tcW w:w="2805" w:type="dxa"/>
            <w:tcBorders>
              <w:bottom w:val="single" w:sz="4" w:space="0" w:color="auto"/>
            </w:tcBorders>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NF 12</w:t>
            </w:r>
          </w:p>
        </w:tc>
      </w:tr>
      <w:tr w:rsidR="008E3B4F" w:rsidRPr="00D51FCD" w:rsidTr="000A10BE">
        <w:trPr>
          <w:trHeight w:val="291"/>
        </w:trPr>
        <w:tc>
          <w:tcPr>
            <w:tcW w:w="0" w:type="auto"/>
            <w:vMerge w:val="restart"/>
            <w:tcBorders>
              <w:top w:val="single" w:sz="4" w:space="0" w:color="auto"/>
            </w:tcBorders>
            <w:shd w:val="clear" w:color="auto" w:fill="auto"/>
            <w:vAlign w:val="cente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sz w:val="24"/>
                <w:szCs w:val="24"/>
                <w:lang w:eastAsia="en-MY"/>
              </w:rPr>
              <w:t>DES 5</w:t>
            </w:r>
          </w:p>
        </w:tc>
        <w:tc>
          <w:tcPr>
            <w:tcW w:w="3174" w:type="dxa"/>
            <w:tcBorders>
              <w:top w:val="single" w:sz="4" w:space="0" w:color="auto"/>
            </w:tcBorders>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0.01</w:t>
            </w:r>
          </w:p>
        </w:tc>
        <w:tc>
          <w:tcPr>
            <w:tcW w:w="2805" w:type="dxa"/>
            <w:tcBorders>
              <w:top w:val="single" w:sz="4" w:space="0" w:color="auto"/>
            </w:tcBorders>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kern w:val="24"/>
                <w:sz w:val="24"/>
                <w:szCs w:val="24"/>
                <w:lang w:eastAsia="en-MY"/>
              </w:rPr>
            </w:pPr>
            <w:r w:rsidRPr="00D51FCD">
              <w:rPr>
                <w:rFonts w:ascii="Times New Roman" w:eastAsia="Times New Roman" w:hAnsi="Times New Roman" w:cs="Times New Roman"/>
                <w:kern w:val="24"/>
                <w:sz w:val="24"/>
                <w:szCs w:val="24"/>
                <w:lang w:eastAsia="en-MY"/>
              </w:rPr>
              <w:t>NF 13</w:t>
            </w:r>
          </w:p>
        </w:tc>
      </w:tr>
      <w:tr w:rsidR="008E3B4F" w:rsidRPr="00D51FCD" w:rsidTr="000A10BE">
        <w:trPr>
          <w:trHeight w:val="291"/>
        </w:trPr>
        <w:tc>
          <w:tcPr>
            <w:tcW w:w="0" w:type="auto"/>
            <w:vMerge/>
            <w:shd w:val="clear" w:color="auto" w:fill="auto"/>
            <w:vAlign w:val="cente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p>
        </w:tc>
        <w:tc>
          <w:tcPr>
            <w:tcW w:w="3174" w:type="dxa"/>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0.05</w:t>
            </w:r>
          </w:p>
        </w:tc>
        <w:tc>
          <w:tcPr>
            <w:tcW w:w="2805" w:type="dxa"/>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kern w:val="24"/>
                <w:sz w:val="24"/>
                <w:szCs w:val="24"/>
                <w:lang w:eastAsia="en-MY"/>
              </w:rPr>
            </w:pPr>
            <w:r w:rsidRPr="00D51FCD">
              <w:rPr>
                <w:rFonts w:ascii="Times New Roman" w:eastAsia="Times New Roman" w:hAnsi="Times New Roman" w:cs="Times New Roman"/>
                <w:kern w:val="24"/>
                <w:sz w:val="24"/>
                <w:szCs w:val="24"/>
                <w:lang w:eastAsia="en-MY"/>
              </w:rPr>
              <w:t>NF 14</w:t>
            </w:r>
          </w:p>
        </w:tc>
      </w:tr>
      <w:tr w:rsidR="008E3B4F" w:rsidRPr="00D51FCD" w:rsidTr="000A10BE">
        <w:trPr>
          <w:trHeight w:val="291"/>
        </w:trPr>
        <w:tc>
          <w:tcPr>
            <w:tcW w:w="0" w:type="auto"/>
            <w:vMerge/>
            <w:tcBorders>
              <w:bottom w:val="single" w:sz="4" w:space="0" w:color="auto"/>
            </w:tcBorders>
            <w:shd w:val="clear" w:color="auto" w:fill="auto"/>
            <w:vAlign w:val="cente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p>
        </w:tc>
        <w:tc>
          <w:tcPr>
            <w:tcW w:w="3174" w:type="dxa"/>
            <w:tcBorders>
              <w:bottom w:val="single" w:sz="4" w:space="0" w:color="auto"/>
            </w:tcBorders>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0.10</w:t>
            </w:r>
          </w:p>
        </w:tc>
        <w:tc>
          <w:tcPr>
            <w:tcW w:w="2805" w:type="dxa"/>
            <w:tcBorders>
              <w:bottom w:val="single" w:sz="4" w:space="0" w:color="auto"/>
            </w:tcBorders>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kern w:val="24"/>
                <w:sz w:val="24"/>
                <w:szCs w:val="24"/>
                <w:lang w:eastAsia="en-MY"/>
              </w:rPr>
            </w:pPr>
            <w:r w:rsidRPr="00D51FCD">
              <w:rPr>
                <w:rFonts w:ascii="Times New Roman" w:eastAsia="Times New Roman" w:hAnsi="Times New Roman" w:cs="Times New Roman"/>
                <w:kern w:val="24"/>
                <w:sz w:val="24"/>
                <w:szCs w:val="24"/>
                <w:lang w:eastAsia="en-MY"/>
              </w:rPr>
              <w:t>NF 15</w:t>
            </w:r>
          </w:p>
        </w:tc>
      </w:tr>
      <w:tr w:rsidR="008E3B4F" w:rsidRPr="00D51FCD" w:rsidTr="000A10BE">
        <w:trPr>
          <w:trHeight w:val="291"/>
        </w:trPr>
        <w:tc>
          <w:tcPr>
            <w:tcW w:w="0" w:type="auto"/>
            <w:vMerge w:val="restart"/>
            <w:tcBorders>
              <w:top w:val="single" w:sz="4" w:space="0" w:color="auto"/>
            </w:tcBorders>
            <w:shd w:val="clear" w:color="auto" w:fill="auto"/>
            <w:vAlign w:val="cente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sz w:val="24"/>
                <w:szCs w:val="24"/>
                <w:lang w:eastAsia="en-MY"/>
              </w:rPr>
              <w:lastRenderedPageBreak/>
              <w:t>DES 6</w:t>
            </w:r>
          </w:p>
        </w:tc>
        <w:tc>
          <w:tcPr>
            <w:tcW w:w="3174" w:type="dxa"/>
            <w:tcBorders>
              <w:top w:val="single" w:sz="4" w:space="0" w:color="auto"/>
            </w:tcBorders>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0.01</w:t>
            </w:r>
          </w:p>
        </w:tc>
        <w:tc>
          <w:tcPr>
            <w:tcW w:w="2805" w:type="dxa"/>
            <w:tcBorders>
              <w:top w:val="single" w:sz="4" w:space="0" w:color="auto"/>
            </w:tcBorders>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kern w:val="24"/>
                <w:sz w:val="24"/>
                <w:szCs w:val="24"/>
                <w:lang w:eastAsia="en-MY"/>
              </w:rPr>
            </w:pPr>
            <w:r w:rsidRPr="00D51FCD">
              <w:rPr>
                <w:rFonts w:ascii="Times New Roman" w:eastAsia="Times New Roman" w:hAnsi="Times New Roman" w:cs="Times New Roman"/>
                <w:kern w:val="24"/>
                <w:sz w:val="24"/>
                <w:szCs w:val="24"/>
                <w:lang w:eastAsia="en-MY"/>
              </w:rPr>
              <w:t>NF 16</w:t>
            </w:r>
          </w:p>
        </w:tc>
      </w:tr>
      <w:tr w:rsidR="008E3B4F" w:rsidRPr="00D51FCD" w:rsidTr="000A10BE">
        <w:trPr>
          <w:trHeight w:val="291"/>
        </w:trPr>
        <w:tc>
          <w:tcPr>
            <w:tcW w:w="0" w:type="auto"/>
            <w:vMerge/>
            <w:shd w:val="clear" w:color="auto" w:fill="auto"/>
            <w:vAlign w:val="cente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p>
        </w:tc>
        <w:tc>
          <w:tcPr>
            <w:tcW w:w="3174" w:type="dxa"/>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0.05</w:t>
            </w:r>
          </w:p>
        </w:tc>
        <w:tc>
          <w:tcPr>
            <w:tcW w:w="2805" w:type="dxa"/>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kern w:val="24"/>
                <w:sz w:val="24"/>
                <w:szCs w:val="24"/>
                <w:lang w:eastAsia="en-MY"/>
              </w:rPr>
            </w:pPr>
            <w:r w:rsidRPr="00D51FCD">
              <w:rPr>
                <w:rFonts w:ascii="Times New Roman" w:eastAsia="Times New Roman" w:hAnsi="Times New Roman" w:cs="Times New Roman"/>
                <w:kern w:val="24"/>
                <w:sz w:val="24"/>
                <w:szCs w:val="24"/>
                <w:lang w:eastAsia="en-MY"/>
              </w:rPr>
              <w:t>NF 17</w:t>
            </w:r>
          </w:p>
        </w:tc>
      </w:tr>
      <w:tr w:rsidR="008E3B4F" w:rsidRPr="00D51FCD" w:rsidTr="000A10BE">
        <w:trPr>
          <w:trHeight w:val="291"/>
        </w:trPr>
        <w:tc>
          <w:tcPr>
            <w:tcW w:w="0" w:type="auto"/>
            <w:vMerge/>
            <w:tcBorders>
              <w:bottom w:val="single" w:sz="4" w:space="0" w:color="auto"/>
            </w:tcBorders>
            <w:shd w:val="clear" w:color="auto" w:fill="auto"/>
            <w:vAlign w:val="cente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p>
        </w:tc>
        <w:tc>
          <w:tcPr>
            <w:tcW w:w="3174" w:type="dxa"/>
            <w:tcBorders>
              <w:bottom w:val="single" w:sz="4" w:space="0" w:color="auto"/>
            </w:tcBorders>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0.10</w:t>
            </w:r>
          </w:p>
        </w:tc>
        <w:tc>
          <w:tcPr>
            <w:tcW w:w="2805" w:type="dxa"/>
            <w:tcBorders>
              <w:bottom w:val="single" w:sz="4" w:space="0" w:color="auto"/>
            </w:tcBorders>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kern w:val="24"/>
                <w:sz w:val="24"/>
                <w:szCs w:val="24"/>
                <w:lang w:eastAsia="en-MY"/>
              </w:rPr>
            </w:pPr>
            <w:r w:rsidRPr="00D51FCD">
              <w:rPr>
                <w:rFonts w:ascii="Times New Roman" w:eastAsia="Times New Roman" w:hAnsi="Times New Roman" w:cs="Times New Roman"/>
                <w:kern w:val="24"/>
                <w:sz w:val="24"/>
                <w:szCs w:val="24"/>
                <w:lang w:eastAsia="en-MY"/>
              </w:rPr>
              <w:t>NF 18</w:t>
            </w:r>
          </w:p>
        </w:tc>
      </w:tr>
      <w:tr w:rsidR="008E3B4F" w:rsidRPr="00D51FCD" w:rsidTr="000A10BE">
        <w:trPr>
          <w:trHeight w:val="291"/>
        </w:trPr>
        <w:tc>
          <w:tcPr>
            <w:tcW w:w="0" w:type="auto"/>
            <w:vMerge w:val="restart"/>
            <w:tcBorders>
              <w:top w:val="single" w:sz="4" w:space="0" w:color="auto"/>
            </w:tcBorders>
            <w:shd w:val="clear" w:color="auto" w:fill="auto"/>
            <w:vAlign w:val="cente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sz w:val="24"/>
                <w:szCs w:val="24"/>
                <w:lang w:eastAsia="en-MY"/>
              </w:rPr>
              <w:t>DES 7</w:t>
            </w:r>
          </w:p>
        </w:tc>
        <w:tc>
          <w:tcPr>
            <w:tcW w:w="3174" w:type="dxa"/>
            <w:tcBorders>
              <w:top w:val="single" w:sz="4" w:space="0" w:color="auto"/>
            </w:tcBorders>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0.01</w:t>
            </w:r>
          </w:p>
        </w:tc>
        <w:tc>
          <w:tcPr>
            <w:tcW w:w="2805" w:type="dxa"/>
            <w:tcBorders>
              <w:top w:val="single" w:sz="4" w:space="0" w:color="auto"/>
            </w:tcBorders>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kern w:val="24"/>
                <w:sz w:val="24"/>
                <w:szCs w:val="24"/>
                <w:lang w:eastAsia="en-MY"/>
              </w:rPr>
            </w:pPr>
            <w:r w:rsidRPr="00D51FCD">
              <w:rPr>
                <w:rFonts w:ascii="Times New Roman" w:eastAsia="Times New Roman" w:hAnsi="Times New Roman" w:cs="Times New Roman"/>
                <w:kern w:val="24"/>
                <w:sz w:val="24"/>
                <w:szCs w:val="24"/>
                <w:lang w:eastAsia="en-MY"/>
              </w:rPr>
              <w:t>NF 19</w:t>
            </w:r>
          </w:p>
        </w:tc>
      </w:tr>
      <w:tr w:rsidR="008E3B4F" w:rsidRPr="00D51FCD" w:rsidTr="000A10BE">
        <w:trPr>
          <w:trHeight w:val="291"/>
        </w:trPr>
        <w:tc>
          <w:tcPr>
            <w:tcW w:w="0" w:type="auto"/>
            <w:vMerge/>
            <w:shd w:val="clear" w:color="auto" w:fill="auto"/>
            <w:vAlign w:val="center"/>
            <w:hideMark/>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p>
        </w:tc>
        <w:tc>
          <w:tcPr>
            <w:tcW w:w="3174" w:type="dxa"/>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0.05</w:t>
            </w:r>
          </w:p>
        </w:tc>
        <w:tc>
          <w:tcPr>
            <w:tcW w:w="2805" w:type="dxa"/>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sz w:val="24"/>
                <w:szCs w:val="24"/>
                <w:lang w:eastAsia="en-MY"/>
              </w:rPr>
              <w:t>NF 20</w:t>
            </w:r>
          </w:p>
        </w:tc>
      </w:tr>
      <w:tr w:rsidR="008E3B4F" w:rsidRPr="00D51FCD" w:rsidTr="000A10BE">
        <w:trPr>
          <w:trHeight w:val="348"/>
        </w:trPr>
        <w:tc>
          <w:tcPr>
            <w:tcW w:w="0" w:type="auto"/>
            <w:vMerge/>
            <w:tcBorders>
              <w:bottom w:val="single" w:sz="4" w:space="0" w:color="auto"/>
            </w:tcBorders>
            <w:shd w:val="clear" w:color="auto" w:fill="auto"/>
            <w:vAlign w:val="cente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p>
        </w:tc>
        <w:tc>
          <w:tcPr>
            <w:tcW w:w="3174" w:type="dxa"/>
            <w:tcBorders>
              <w:bottom w:val="single" w:sz="4" w:space="0" w:color="auto"/>
            </w:tcBorders>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kern w:val="24"/>
                <w:sz w:val="24"/>
                <w:szCs w:val="24"/>
                <w:lang w:eastAsia="en-MY"/>
              </w:rPr>
              <w:t>0.10</w:t>
            </w:r>
          </w:p>
        </w:tc>
        <w:tc>
          <w:tcPr>
            <w:tcW w:w="2805" w:type="dxa"/>
            <w:tcBorders>
              <w:bottom w:val="single" w:sz="4" w:space="0" w:color="auto"/>
            </w:tcBorders>
            <w:shd w:val="clear" w:color="auto" w:fill="auto"/>
            <w:tcMar>
              <w:top w:w="15" w:type="dxa"/>
              <w:left w:w="40" w:type="dxa"/>
              <w:bottom w:w="0" w:type="dxa"/>
              <w:right w:w="40" w:type="dxa"/>
            </w:tcMar>
          </w:tcPr>
          <w:p w:rsidR="008E3B4F" w:rsidRPr="00D51FCD" w:rsidRDefault="008E3B4F" w:rsidP="000A10BE">
            <w:pPr>
              <w:spacing w:after="0" w:line="240" w:lineRule="auto"/>
              <w:ind w:firstLine="720"/>
              <w:jc w:val="center"/>
              <w:rPr>
                <w:rFonts w:ascii="Times New Roman" w:eastAsia="Times New Roman" w:hAnsi="Times New Roman" w:cs="Times New Roman"/>
                <w:sz w:val="24"/>
                <w:szCs w:val="24"/>
                <w:lang w:eastAsia="en-MY"/>
              </w:rPr>
            </w:pPr>
            <w:r w:rsidRPr="00D51FCD">
              <w:rPr>
                <w:rFonts w:ascii="Times New Roman" w:eastAsia="Times New Roman" w:hAnsi="Times New Roman" w:cs="Times New Roman"/>
                <w:sz w:val="24"/>
                <w:szCs w:val="24"/>
                <w:lang w:eastAsia="en-MY"/>
              </w:rPr>
              <w:t>NF 21</w:t>
            </w:r>
          </w:p>
        </w:tc>
      </w:tr>
    </w:tbl>
    <w:p w:rsidR="008E3B4F" w:rsidRPr="00D51FCD" w:rsidRDefault="008E3B4F" w:rsidP="001C115B">
      <w:pPr>
        <w:spacing w:line="240" w:lineRule="auto"/>
        <w:rPr>
          <w:rFonts w:ascii="Times New Roman" w:hAnsi="Times New Roman" w:cs="Times New Roman"/>
          <w:sz w:val="24"/>
          <w:szCs w:val="24"/>
        </w:rPr>
      </w:pPr>
    </w:p>
    <w:p w:rsidR="000A10BE" w:rsidRPr="00D51FCD" w:rsidRDefault="000A10BE" w:rsidP="001C115B">
      <w:pPr>
        <w:spacing w:line="240" w:lineRule="auto"/>
        <w:rPr>
          <w:rFonts w:ascii="Times New Roman" w:hAnsi="Times New Roman" w:cs="Times New Roman"/>
          <w:sz w:val="24"/>
          <w:szCs w:val="24"/>
        </w:rPr>
      </w:pPr>
    </w:p>
    <w:p w:rsidR="00C777D4" w:rsidRPr="00D51FCD" w:rsidRDefault="00441283" w:rsidP="001C115B">
      <w:pPr>
        <w:spacing w:line="240" w:lineRule="auto"/>
        <w:rPr>
          <w:rFonts w:ascii="Times New Roman" w:hAnsi="Times New Roman" w:cs="Times New Roman"/>
          <w:i/>
          <w:sz w:val="24"/>
          <w:szCs w:val="24"/>
        </w:rPr>
      </w:pPr>
      <w:r w:rsidRPr="00D51FCD">
        <w:rPr>
          <w:rFonts w:ascii="Times New Roman" w:hAnsi="Times New Roman" w:cs="Times New Roman"/>
          <w:i/>
          <w:sz w:val="24"/>
          <w:szCs w:val="24"/>
        </w:rPr>
        <w:t>2.3 Properties Measurement</w:t>
      </w:r>
    </w:p>
    <w:p w:rsidR="008E3B4F" w:rsidRPr="00D51FCD" w:rsidRDefault="008E3B4F" w:rsidP="001C115B">
      <w:pPr>
        <w:spacing w:line="240" w:lineRule="auto"/>
        <w:jc w:val="both"/>
        <w:rPr>
          <w:rFonts w:ascii="Times New Roman" w:hAnsi="Times New Roman" w:cs="Times New Roman"/>
          <w:i/>
          <w:sz w:val="24"/>
          <w:szCs w:val="24"/>
        </w:rPr>
      </w:pPr>
      <w:r w:rsidRPr="00D51FCD">
        <w:rPr>
          <w:rFonts w:ascii="Times New Roman" w:hAnsi="Times New Roman" w:cs="Times New Roman"/>
          <w:sz w:val="24"/>
        </w:rPr>
        <w:t xml:space="preserve">The stability of the nanolubricant was investigated using optical microscopy and visual observation across a period of time. </w:t>
      </w:r>
      <w:r w:rsidR="00C777D4" w:rsidRPr="00D51FCD">
        <w:rPr>
          <w:rFonts w:ascii="Times New Roman" w:hAnsi="Times New Roman" w:cs="Times New Roman"/>
          <w:sz w:val="24"/>
        </w:rPr>
        <w:t xml:space="preserve">The </w:t>
      </w:r>
      <w:r w:rsidR="00972478" w:rsidRPr="00D51FCD">
        <w:rPr>
          <w:rFonts w:ascii="Times New Roman" w:hAnsi="Times New Roman" w:cs="Times New Roman"/>
          <w:sz w:val="24"/>
        </w:rPr>
        <w:t>optical</w:t>
      </w:r>
      <w:r w:rsidR="00C777D4" w:rsidRPr="00D51FCD">
        <w:rPr>
          <w:rFonts w:ascii="Times New Roman" w:hAnsi="Times New Roman" w:cs="Times New Roman"/>
          <w:sz w:val="24"/>
        </w:rPr>
        <w:t xml:space="preserve"> microscopy used the </w:t>
      </w:r>
      <w:r w:rsidR="00C777D4" w:rsidRPr="00D51FCD">
        <w:rPr>
          <w:rFonts w:ascii="Times New Roman" w:hAnsi="Times New Roman" w:cs="Times New Roman"/>
          <w:sz w:val="24"/>
          <w:szCs w:val="24"/>
        </w:rPr>
        <w:t>Swift M</w:t>
      </w:r>
      <w:r w:rsidR="00C777D4" w:rsidRPr="00D51FCD">
        <w:rPr>
          <w:rFonts w:ascii="Times New Roman" w:hAnsi="Times New Roman" w:cs="Times New Roman"/>
          <w:sz w:val="24"/>
        </w:rPr>
        <w:t xml:space="preserve">10D Series Digital Microscope with images taken at two different magnification of 4X and 10X for better understanding of the nanoparticle dispersion. </w:t>
      </w:r>
      <w:r w:rsidRPr="00D51FCD">
        <w:rPr>
          <w:rFonts w:ascii="Times New Roman" w:hAnsi="Times New Roman" w:cs="Times New Roman"/>
          <w:sz w:val="24"/>
        </w:rPr>
        <w:t xml:space="preserve">Thermal conductivity was measured as a function of temperature by using the KD2 Pro Decagon Device with uncertainty of ± 5% and jacketed circulating water bath. The thermal conductivity was </w:t>
      </w:r>
      <w:r w:rsidR="00972478" w:rsidRPr="00D51FCD">
        <w:rPr>
          <w:rFonts w:ascii="Times New Roman" w:hAnsi="Times New Roman" w:cs="Times New Roman"/>
          <w:sz w:val="24"/>
        </w:rPr>
        <w:t>measured at 25°C, 40°C, and 60°C.</w:t>
      </w:r>
      <w:r w:rsidRPr="00D51FCD">
        <w:rPr>
          <w:rFonts w:ascii="Times New Roman" w:hAnsi="Times New Roman" w:cs="Times New Roman"/>
          <w:sz w:val="24"/>
        </w:rPr>
        <w:t xml:space="preserve"> The viscosity was measured using Haakee Mars III Rheometer from Thermo Scientific with spindle plate size of P35 Ti L and lower plate TMP 35.  The viscosity was measured at 25°C, 40°C and 100°C with two different shear rates of 10 s</w:t>
      </w:r>
      <w:r w:rsidRPr="00D51FCD">
        <w:rPr>
          <w:rFonts w:ascii="Times New Roman" w:hAnsi="Times New Roman" w:cs="Times New Roman"/>
          <w:sz w:val="24"/>
          <w:vertAlign w:val="superscript"/>
        </w:rPr>
        <w:t>-1</w:t>
      </w:r>
      <w:r w:rsidRPr="00D51FCD">
        <w:rPr>
          <w:rFonts w:ascii="Times New Roman" w:hAnsi="Times New Roman" w:cs="Times New Roman"/>
          <w:sz w:val="24"/>
        </w:rPr>
        <w:t xml:space="preserve"> and 500 s</w:t>
      </w:r>
      <w:r w:rsidRPr="00D51FCD">
        <w:rPr>
          <w:rFonts w:ascii="Times New Roman" w:hAnsi="Times New Roman" w:cs="Times New Roman"/>
          <w:sz w:val="24"/>
          <w:vertAlign w:val="superscript"/>
        </w:rPr>
        <w:t>-1</w:t>
      </w:r>
      <w:r w:rsidRPr="00D51FCD">
        <w:rPr>
          <w:rFonts w:ascii="Times New Roman" w:hAnsi="Times New Roman" w:cs="Times New Roman"/>
          <w:sz w:val="24"/>
        </w:rPr>
        <w:t xml:space="preserve">. </w:t>
      </w:r>
      <w:r w:rsidR="00A57CF0" w:rsidRPr="00D51FCD">
        <w:rPr>
          <w:rFonts w:ascii="Times New Roman" w:hAnsi="Times New Roman" w:cs="Times New Roman"/>
          <w:sz w:val="24"/>
        </w:rPr>
        <w:t xml:space="preserve">The temperatures were chosen based on the common temperatures used to measure performance of lubricant. </w:t>
      </w:r>
      <w:r w:rsidRPr="00D51FCD">
        <w:rPr>
          <w:rFonts w:ascii="Times New Roman" w:hAnsi="Times New Roman" w:cs="Times New Roman"/>
          <w:sz w:val="24"/>
        </w:rPr>
        <w:t>The dynamic viscosity was obtained by taking the average viscosity of the two different shear rate at the particular temperature. The density was measured by using the Anton Par DMA 4500 M at temperature of 25°C, 40°C and 90°C. The viscosity was measured at temperature of 100°C which was selected due to limitation of the equipment and as the highest temperatur</w:t>
      </w:r>
      <w:r w:rsidR="00972478" w:rsidRPr="00D51FCD">
        <w:rPr>
          <w:rFonts w:ascii="Times New Roman" w:hAnsi="Times New Roman" w:cs="Times New Roman"/>
          <w:sz w:val="24"/>
        </w:rPr>
        <w:t>e to observe the behavior of nanofluid</w:t>
      </w:r>
      <w:r w:rsidRPr="00D51FCD">
        <w:rPr>
          <w:rFonts w:ascii="Times New Roman" w:hAnsi="Times New Roman" w:cs="Times New Roman"/>
          <w:sz w:val="24"/>
        </w:rPr>
        <w:t xml:space="preserve"> at extreme temperature whereas the heating element of DMA 4500 M limits the temperature to 90°C to prevent any d</w:t>
      </w:r>
      <w:r w:rsidR="00972478" w:rsidRPr="00D51FCD">
        <w:rPr>
          <w:rFonts w:ascii="Times New Roman" w:hAnsi="Times New Roman" w:cs="Times New Roman"/>
          <w:sz w:val="24"/>
        </w:rPr>
        <w:t>amage to the U-tube thus the nanofluid</w:t>
      </w:r>
      <w:r w:rsidRPr="00D51FCD">
        <w:rPr>
          <w:rFonts w:ascii="Times New Roman" w:hAnsi="Times New Roman" w:cs="Times New Roman"/>
          <w:sz w:val="24"/>
        </w:rPr>
        <w:t xml:space="preserve">s were measured at that particular temperatures. </w:t>
      </w:r>
    </w:p>
    <w:p w:rsidR="008E3B4F" w:rsidRPr="00D51FCD" w:rsidRDefault="008E3B4F" w:rsidP="001C115B">
      <w:pPr>
        <w:spacing w:line="240" w:lineRule="auto"/>
        <w:rPr>
          <w:rFonts w:ascii="Times New Roman" w:hAnsi="Times New Roman" w:cs="Times New Roman"/>
          <w:i/>
          <w:sz w:val="24"/>
          <w:szCs w:val="24"/>
        </w:rPr>
      </w:pPr>
    </w:p>
    <w:p w:rsidR="00441283" w:rsidRPr="00D51FCD" w:rsidRDefault="00441283" w:rsidP="001C115B">
      <w:pPr>
        <w:spacing w:line="240" w:lineRule="auto"/>
        <w:rPr>
          <w:rFonts w:ascii="Times New Roman" w:hAnsi="Times New Roman" w:cs="Times New Roman"/>
          <w:b/>
          <w:sz w:val="24"/>
          <w:szCs w:val="24"/>
        </w:rPr>
      </w:pPr>
      <w:r w:rsidRPr="00D51FCD">
        <w:rPr>
          <w:rFonts w:ascii="Times New Roman" w:hAnsi="Times New Roman" w:cs="Times New Roman"/>
          <w:b/>
          <w:sz w:val="24"/>
          <w:szCs w:val="24"/>
        </w:rPr>
        <w:t>3. Results and Discussion</w:t>
      </w:r>
    </w:p>
    <w:p w:rsidR="00441283" w:rsidRPr="00D51FCD" w:rsidRDefault="00441283" w:rsidP="001C115B">
      <w:pPr>
        <w:spacing w:line="240" w:lineRule="auto"/>
        <w:rPr>
          <w:rFonts w:ascii="Times New Roman" w:hAnsi="Times New Roman" w:cs="Times New Roman"/>
          <w:i/>
          <w:sz w:val="24"/>
          <w:szCs w:val="24"/>
        </w:rPr>
      </w:pPr>
      <w:r w:rsidRPr="00D51FCD">
        <w:rPr>
          <w:rFonts w:ascii="Times New Roman" w:hAnsi="Times New Roman" w:cs="Times New Roman"/>
          <w:i/>
          <w:sz w:val="24"/>
          <w:szCs w:val="24"/>
        </w:rPr>
        <w:t>3.1</w:t>
      </w:r>
      <w:r w:rsidR="00C777D4" w:rsidRPr="00D51FCD">
        <w:rPr>
          <w:rFonts w:ascii="Times New Roman" w:hAnsi="Times New Roman" w:cs="Times New Roman"/>
          <w:i/>
          <w:sz w:val="24"/>
          <w:szCs w:val="24"/>
        </w:rPr>
        <w:t xml:space="preserve"> Stability </w:t>
      </w:r>
    </w:p>
    <w:p w:rsidR="00245F8C" w:rsidRPr="00D51FCD" w:rsidRDefault="00245F8C" w:rsidP="001C115B">
      <w:pPr>
        <w:spacing w:line="240" w:lineRule="auto"/>
        <w:rPr>
          <w:rFonts w:ascii="Times New Roman" w:hAnsi="Times New Roman" w:cs="Times New Roman"/>
          <w:i/>
          <w:sz w:val="24"/>
          <w:szCs w:val="24"/>
        </w:rPr>
      </w:pPr>
      <w:r w:rsidRPr="00D51FCD">
        <w:rPr>
          <w:rFonts w:ascii="Times New Roman" w:hAnsi="Times New Roman" w:cs="Times New Roman"/>
          <w:i/>
          <w:sz w:val="24"/>
          <w:szCs w:val="24"/>
        </w:rPr>
        <w:t>3.1.1 Visual Observation</w:t>
      </w:r>
    </w:p>
    <w:p w:rsidR="00B6780E" w:rsidRPr="00D51FCD" w:rsidRDefault="00B6780E" w:rsidP="001C115B">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t>The visual observations were carried out and the photographs were taken on Day 0, 1, 2, 3, 4, 11, 18, 25 and 32. Day 0 is referred to the day on which sonication was performed followed by the subsequent day which was Day 1 and so on. All the samples are stable from Day 0 to Day 4. For the glycerol based DESs, samples NF 1 suffered heavy sedimentation whereas NF 10 showed slight sedimentation on Day 11. The sedimentation progressed aggressively for sample NF 1 as the days increased and most of</w:t>
      </w:r>
      <w:r w:rsidR="00B57B41" w:rsidRPr="00D51FCD">
        <w:rPr>
          <w:rFonts w:ascii="Times New Roman" w:hAnsi="Times New Roman" w:cs="Times New Roman"/>
          <w:sz w:val="24"/>
          <w:szCs w:val="24"/>
        </w:rPr>
        <w:t xml:space="preserve"> F-MWCNT were</w:t>
      </w:r>
      <w:r w:rsidRPr="00D51FCD">
        <w:rPr>
          <w:rFonts w:ascii="Times New Roman" w:hAnsi="Times New Roman" w:cs="Times New Roman"/>
          <w:sz w:val="24"/>
          <w:szCs w:val="24"/>
        </w:rPr>
        <w:t xml:space="preserve"> settled at the bottom of the vial with minimum dispersion. Sample NF 10 sedimentation was slower whereas at Day 32, F-MWCNT on the upper half of the vial have shown sedimentation. Sample NF 4 and NF 11 began showing very little sedimentation on Day 18 and on Day 32 the sedimentation was subjected to a quarter of the vial.  Samples NF 2, NF 3, NF 5, NF 6, NF 7, NF 8, NF 9 and NF 12 were still dispersed and showed no sedimentation. </w:t>
      </w:r>
    </w:p>
    <w:p w:rsidR="00B6780E" w:rsidRPr="00D51FCD" w:rsidRDefault="00B6780E" w:rsidP="001C115B">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tab/>
        <w:t xml:space="preserve">On the other hand, sample NF 16 began to start sedimentation on Day 11 which progressed into Day 32 where most of the nanoparticles were settled at the bottom of the vials. </w:t>
      </w:r>
      <w:r w:rsidRPr="00D51FCD">
        <w:rPr>
          <w:rFonts w:ascii="Times New Roman" w:hAnsi="Times New Roman" w:cs="Times New Roman"/>
          <w:sz w:val="24"/>
          <w:szCs w:val="24"/>
        </w:rPr>
        <w:lastRenderedPageBreak/>
        <w:t xml:space="preserve">Beside NF 16, all the PEG based DESs were still well dispersed up to Day 32. It was noted that even when sedimentation occurs, once the samples are shaken the nanoparticles tend to re-disperse and forms a homogenous suspension. </w:t>
      </w:r>
    </w:p>
    <w:p w:rsidR="00972478" w:rsidRPr="00D51FCD" w:rsidRDefault="00B6780E" w:rsidP="001C115B">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tab/>
        <w:t xml:space="preserve">It can be concluded that F-MWCNT have longer duration of stability in PEG based DES compared to the glycerol based DES. The higher the concentration of nanoparticles dispersed, the better the stability of the samples. This was also proven in the study conducted by </w:t>
      </w:r>
      <w:r w:rsidRPr="00D51FCD">
        <w:rPr>
          <w:rFonts w:ascii="Times New Roman" w:hAnsi="Times New Roman" w:cs="Times New Roman"/>
          <w:sz w:val="24"/>
          <w:szCs w:val="24"/>
        </w:rPr>
        <w:fldChar w:fldCharType="begin" w:fldLock="1"/>
      </w:r>
      <w:r w:rsidR="00D92291" w:rsidRPr="00D51FCD">
        <w:rPr>
          <w:rFonts w:ascii="Times New Roman" w:hAnsi="Times New Roman" w:cs="Times New Roman"/>
          <w:sz w:val="24"/>
          <w:szCs w:val="24"/>
        </w:rPr>
        <w:instrText>ADDIN CSL_CITATION { "citationItems" : [ { "id" : "ITEM-1", "itemData" : { "DOI" : "10.1016/j.jcis.2012.05.014", "ISSN" : "00219797", "PMID" : "22695734", "abstract" : "This report presents an assessment on colloidal stability of functionalized multiwalled carbon nanotubes based nanofluids. To this end, an innovative technique that allows for measurement of settling velocity during centrifugation is applied. This method also enables measurements without dilution, inferring further accuracy to the experimental study. The results suggest that functionalization techniques enable the production of highly stable nanofluids. It is also found, that the colloidal stabilities of these nanofluids are characterized by hindered settling. The settling velocity decreases when the nanoparticles volume fraction rises from 0.25% to 1.50% due to the increase of interparticle interaction. Furthermore, a high aspect ratio of nanoparticles directly contributed to an increase in colloidal stability. It is expected that these results may significantly contribute to proper tailor of nanofluids engineering, ensuring a long term stable dispersion enhancing industrial application suitability. \u00a9 2012 Elsevier Inc.", "author" : [ { "dropping-particle" : "", "family" : "Lamas", "given" : "Bruno", "non-dropping-particle" : "", "parse-names" : false, "suffix" : "" }, { "dropping-particle" : "", "family" : "Abreu", "given" : "Bruno", "non-dropping-particle" : "", "parse-names" : false, "suffix" : "" }, { "dropping-particle" : "", "family" : "Fonseca", "given" : "Alexandra", "non-dropping-particle" : "", "parse-names" : false, "suffix" : "" }, { "dropping-particle" : "", "family" : "Martins", "given" : "Nelson", "non-dropping-particle" : "", "parse-names" : false, "suffix" : "" }, { "dropping-particle" : "", "family" : "Oliveira", "given" : "M\u00f3nica", "non-dropping-particle" : "", "parse-names" : false, "suffix" : "" } ], "container-title" : "Journal of Colloid and Interface Science", "id" : "ITEM-1", "issue" : "1", "issued" : { "date-parts" : [ [ "2012" ] ] }, "page" : "17-23", "title" : "Assessing colloidal stability of long term MWCNT based nanofluids", "type" : "article-journal", "volume" : "381" }, "uris" : [ "http://www.mendeley.com/documents/?uuid=d0c6afa0-6492-4d15-923f-55e0d9459b62" ] } ], "mendeley" : { "formattedCitation" : "[24]", "manualFormatting" : "Lamas et al. (2012)", "plainTextFormattedCitation" : "[24]", "previouslyFormattedCitation" : "[24]"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Pr="00D51FCD">
        <w:rPr>
          <w:rFonts w:ascii="Times New Roman" w:hAnsi="Times New Roman" w:cs="Times New Roman"/>
          <w:noProof/>
          <w:sz w:val="24"/>
          <w:szCs w:val="24"/>
        </w:rPr>
        <w:t xml:space="preserve">Lamas et al. </w:t>
      </w:r>
      <w:r w:rsidR="008859B9" w:rsidRPr="00D51FCD">
        <w:rPr>
          <w:rFonts w:ascii="Times New Roman" w:hAnsi="Times New Roman" w:cs="Times New Roman"/>
          <w:noProof/>
          <w:sz w:val="24"/>
          <w:szCs w:val="24"/>
        </w:rPr>
        <w:t>[22</w:t>
      </w:r>
      <w:r w:rsidR="00FD6752" w:rsidRPr="00D51FCD">
        <w:rPr>
          <w:rFonts w:ascii="Times New Roman" w:hAnsi="Times New Roman" w:cs="Times New Roman"/>
          <w:noProof/>
          <w:sz w:val="24"/>
          <w:szCs w:val="24"/>
        </w:rPr>
        <w:t xml:space="preserve">] </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which states the settling velocity of MWCNT nanofluid reduces as the concentration and the aspect ratio increases which is due to the significant interparticle interaction called as hindered settling. When the aspect ratio and the concentration of nanoparticle is increased, there is a prominent increase of functional groups which tend to repel each other. These repulsions overcome other forces such as gravitational and attractive forces to allow greater stability. Other factors that influences the stability are the viscosity of the basefluid in which the nanoparticles are dispersed and the size of the nanoparticles. In this research, the size of F-MWCNT dispersed are similar thus, the viscosity plays a great role in stability of the samples </w:t>
      </w:r>
      <w:r w:rsidRPr="00D51FCD">
        <w:rPr>
          <w:rFonts w:ascii="Times New Roman" w:hAnsi="Times New Roman" w:cs="Times New Roman"/>
          <w:sz w:val="24"/>
          <w:szCs w:val="24"/>
        </w:rPr>
        <w:fldChar w:fldCharType="begin" w:fldLock="1"/>
      </w:r>
      <w:r w:rsidR="00D92291" w:rsidRPr="00D51FCD">
        <w:rPr>
          <w:rFonts w:ascii="Times New Roman" w:hAnsi="Times New Roman" w:cs="Times New Roman"/>
          <w:sz w:val="24"/>
          <w:szCs w:val="24"/>
        </w:rPr>
        <w:instrText>ADDIN CSL_CITATION { "citationItems" : [ { "id" : "ITEM-1", "itemData" : { "DOI" : "10.1016/j.jcis.2012.05.014", "ISSN" : "00219797", "PMID" : "22695734", "abstract" : "This report presents an assessment on colloidal stability of functionalized multiwalled carbon nanotubes based nanofluids. To this end, an innovative technique that allows for measurement of settling velocity during centrifugation is applied. This method also enables measurements without dilution, inferring further accuracy to the experimental study. The results suggest that functionalization techniques enable the production of highly stable nanofluids. It is also found, that the colloidal stabilities of these nanofluids are characterized by hindered settling. The settling velocity decreases when the nanoparticles volume fraction rises from 0.25% to 1.50% due to the increase of interparticle interaction. Furthermore, a high aspect ratio of nanoparticles directly contributed to an increase in colloidal stability. It is expected that these results may significantly contribute to proper tailor of nanofluids engineering, ensuring a long term stable dispersion enhancing industrial application suitability. \u00a9 2012 Elsevier Inc.", "author" : [ { "dropping-particle" : "", "family" : "Lamas", "given" : "Bruno", "non-dropping-particle" : "", "parse-names" : false, "suffix" : "" }, { "dropping-particle" : "", "family" : "Abreu", "given" : "Bruno", "non-dropping-particle" : "", "parse-names" : false, "suffix" : "" }, { "dropping-particle" : "", "family" : "Fonseca", "given" : "Alexandra", "non-dropping-particle" : "", "parse-names" : false, "suffix" : "" }, { "dropping-particle" : "", "family" : "Martins", "given" : "Nelson", "non-dropping-particle" : "", "parse-names" : false, "suffix" : "" }, { "dropping-particle" : "", "family" : "Oliveira", "given" : "M\u00f3nica", "non-dropping-particle" : "", "parse-names" : false, "suffix" : "" } ], "container-title" : "Journal of Colloid and Interface Science", "id" : "ITEM-1", "issue" : "1", "issued" : { "date-parts" : [ [ "2012" ] ] }, "page" : "17-23", "title" : "Assessing colloidal stability of long term MWCNT based nanofluids", "type" : "article-journal", "volume" : "381" }, "uris" : [ "http://www.mendeley.com/documents/?uuid=d0c6afa0-6492-4d15-923f-55e0d9459b62" ] } ], "mendeley" : { "formattedCitation" : "[24]", "plainTextFormattedCitation" : "[24]", "previouslyFormattedCitation" : "[24]"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008859B9" w:rsidRPr="00D51FCD">
        <w:rPr>
          <w:rFonts w:ascii="Times New Roman" w:hAnsi="Times New Roman" w:cs="Times New Roman"/>
          <w:noProof/>
          <w:sz w:val="24"/>
          <w:szCs w:val="24"/>
        </w:rPr>
        <w:t>[22</w:t>
      </w:r>
      <w:r w:rsidR="0039571D" w:rsidRPr="00D51FCD">
        <w:rPr>
          <w:rFonts w:ascii="Times New Roman" w:hAnsi="Times New Roman" w:cs="Times New Roman"/>
          <w:noProof/>
          <w:sz w:val="24"/>
          <w:szCs w:val="24"/>
        </w:rPr>
        <w:t>]</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57"/>
        <w:gridCol w:w="2023"/>
        <w:gridCol w:w="2023"/>
        <w:gridCol w:w="1987"/>
        <w:gridCol w:w="1926"/>
      </w:tblGrid>
      <w:tr w:rsidR="00245F8C" w:rsidRPr="00D51FCD" w:rsidTr="00972478">
        <w:trPr>
          <w:jc w:val="center"/>
        </w:trPr>
        <w:tc>
          <w:tcPr>
            <w:tcW w:w="1057" w:type="dxa"/>
            <w:tcBorders>
              <w:top w:val="single" w:sz="4" w:space="0" w:color="auto"/>
              <w:bottom w:val="single" w:sz="4" w:space="0" w:color="auto"/>
            </w:tcBorders>
            <w:shd w:val="clear" w:color="auto" w:fill="FFFFFF" w:themeFill="background1"/>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Day</w:t>
            </w:r>
          </w:p>
        </w:tc>
        <w:tc>
          <w:tcPr>
            <w:tcW w:w="2023" w:type="dxa"/>
            <w:tcBorders>
              <w:top w:val="single" w:sz="4" w:space="0" w:color="auto"/>
              <w:bottom w:val="single" w:sz="4" w:space="0" w:color="auto"/>
            </w:tcBorders>
            <w:shd w:val="clear" w:color="auto" w:fill="FFFFFF" w:themeFill="background1"/>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DES 1</w:t>
            </w:r>
          </w:p>
        </w:tc>
        <w:tc>
          <w:tcPr>
            <w:tcW w:w="2023" w:type="dxa"/>
            <w:tcBorders>
              <w:top w:val="single" w:sz="4" w:space="0" w:color="auto"/>
              <w:bottom w:val="single" w:sz="4" w:space="0" w:color="auto"/>
            </w:tcBorders>
            <w:shd w:val="clear" w:color="auto" w:fill="FFFFFF" w:themeFill="background1"/>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DES 2</w:t>
            </w:r>
          </w:p>
        </w:tc>
        <w:tc>
          <w:tcPr>
            <w:tcW w:w="1987" w:type="dxa"/>
            <w:tcBorders>
              <w:top w:val="single" w:sz="4" w:space="0" w:color="auto"/>
              <w:bottom w:val="single" w:sz="4" w:space="0" w:color="auto"/>
            </w:tcBorders>
            <w:shd w:val="clear" w:color="auto" w:fill="FFFFFF" w:themeFill="background1"/>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DES 3</w:t>
            </w:r>
          </w:p>
        </w:tc>
        <w:tc>
          <w:tcPr>
            <w:tcW w:w="1926" w:type="dxa"/>
            <w:tcBorders>
              <w:top w:val="single" w:sz="4" w:space="0" w:color="auto"/>
              <w:bottom w:val="single" w:sz="4" w:space="0" w:color="auto"/>
            </w:tcBorders>
            <w:shd w:val="clear" w:color="auto" w:fill="FFFFFF" w:themeFill="background1"/>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DES 4</w:t>
            </w:r>
          </w:p>
        </w:tc>
      </w:tr>
      <w:tr w:rsidR="00245F8C" w:rsidRPr="00D51FCD" w:rsidTr="00972478">
        <w:trPr>
          <w:jc w:val="center"/>
        </w:trPr>
        <w:tc>
          <w:tcPr>
            <w:tcW w:w="1057" w:type="dxa"/>
            <w:tcBorders>
              <w:top w:val="single" w:sz="4" w:space="0" w:color="auto"/>
              <w:bottom w:val="single" w:sz="4" w:space="0" w:color="auto"/>
            </w:tcBorders>
            <w:shd w:val="clear" w:color="auto" w:fill="FFFFFF" w:themeFill="background1"/>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0</w:t>
            </w:r>
          </w:p>
        </w:tc>
        <w:tc>
          <w:tcPr>
            <w:tcW w:w="2023" w:type="dxa"/>
            <w:tcBorders>
              <w:top w:val="single" w:sz="4" w:space="0" w:color="auto"/>
              <w:bottom w:val="single" w:sz="4" w:space="0" w:color="auto"/>
            </w:tcBorders>
            <w:shd w:val="clear" w:color="auto" w:fill="FFFFFF" w:themeFill="background1"/>
          </w:tcPr>
          <w:p w:rsidR="00245F8C" w:rsidRPr="00D51FCD" w:rsidRDefault="00245F8C" w:rsidP="001C115B">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461D2D84" wp14:editId="6867E942">
                  <wp:extent cx="1080000" cy="811598"/>
                  <wp:effectExtent l="0" t="0" r="6350" b="7620"/>
                  <wp:docPr id="156" name="Picture 156" descr="C:\Users\User\Desktop\New folder\Day 0\DSC0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Day 0\DSC023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0000" cy="811598"/>
                          </a:xfrm>
                          <a:prstGeom prst="rect">
                            <a:avLst/>
                          </a:prstGeom>
                          <a:noFill/>
                          <a:ln>
                            <a:noFill/>
                          </a:ln>
                        </pic:spPr>
                      </pic:pic>
                    </a:graphicData>
                  </a:graphic>
                </wp:inline>
              </w:drawing>
            </w:r>
          </w:p>
        </w:tc>
        <w:tc>
          <w:tcPr>
            <w:tcW w:w="2023" w:type="dxa"/>
            <w:tcBorders>
              <w:top w:val="single" w:sz="4" w:space="0" w:color="auto"/>
              <w:bottom w:val="single" w:sz="4" w:space="0" w:color="auto"/>
            </w:tcBorders>
            <w:shd w:val="clear" w:color="auto" w:fill="FFFFFF" w:themeFill="background1"/>
          </w:tcPr>
          <w:p w:rsidR="00245F8C" w:rsidRPr="00D51FCD" w:rsidRDefault="00245F8C" w:rsidP="001C115B">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756C6DAD" wp14:editId="5BB88AD8">
                  <wp:extent cx="1080000" cy="809204"/>
                  <wp:effectExtent l="0" t="0" r="6350" b="0"/>
                  <wp:docPr id="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809204"/>
                          </a:xfrm>
                          <a:prstGeom prst="rect">
                            <a:avLst/>
                          </a:prstGeom>
                        </pic:spPr>
                      </pic:pic>
                    </a:graphicData>
                  </a:graphic>
                </wp:inline>
              </w:drawing>
            </w:r>
          </w:p>
        </w:tc>
        <w:tc>
          <w:tcPr>
            <w:tcW w:w="1987" w:type="dxa"/>
            <w:tcBorders>
              <w:top w:val="single" w:sz="4" w:space="0" w:color="auto"/>
              <w:bottom w:val="single" w:sz="4" w:space="0" w:color="auto"/>
            </w:tcBorders>
            <w:shd w:val="clear" w:color="auto" w:fill="FFFFFF" w:themeFill="background1"/>
          </w:tcPr>
          <w:p w:rsidR="00245F8C" w:rsidRPr="00D51FCD" w:rsidRDefault="00245F8C" w:rsidP="001C115B">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51B36A31" wp14:editId="6AFDBEF4">
                  <wp:extent cx="1080000" cy="809204"/>
                  <wp:effectExtent l="0" t="0" r="6350" b="0"/>
                  <wp:docPr id="1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809204"/>
                          </a:xfrm>
                          <a:prstGeom prst="rect">
                            <a:avLst/>
                          </a:prstGeom>
                        </pic:spPr>
                      </pic:pic>
                    </a:graphicData>
                  </a:graphic>
                </wp:inline>
              </w:drawing>
            </w:r>
          </w:p>
        </w:tc>
        <w:tc>
          <w:tcPr>
            <w:tcW w:w="1926" w:type="dxa"/>
            <w:tcBorders>
              <w:top w:val="single" w:sz="4" w:space="0" w:color="auto"/>
              <w:bottom w:val="single" w:sz="4" w:space="0" w:color="auto"/>
            </w:tcBorders>
            <w:shd w:val="clear" w:color="auto" w:fill="FFFFFF" w:themeFill="background1"/>
          </w:tcPr>
          <w:p w:rsidR="00245F8C" w:rsidRPr="00D51FCD" w:rsidRDefault="00245F8C" w:rsidP="001C115B">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239378B9" wp14:editId="6B8B2234">
                  <wp:extent cx="1080000" cy="811598"/>
                  <wp:effectExtent l="0" t="0" r="6350" b="7620"/>
                  <wp:docPr id="159" name="Picture 159" descr="C:\Users\User\Desktop\New folder\Day 0\DSC0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Day 0\DSC023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811598"/>
                          </a:xfrm>
                          <a:prstGeom prst="rect">
                            <a:avLst/>
                          </a:prstGeom>
                          <a:noFill/>
                          <a:ln>
                            <a:noFill/>
                          </a:ln>
                        </pic:spPr>
                      </pic:pic>
                    </a:graphicData>
                  </a:graphic>
                </wp:inline>
              </w:drawing>
            </w:r>
          </w:p>
        </w:tc>
      </w:tr>
      <w:tr w:rsidR="00245F8C" w:rsidRPr="00D51FCD" w:rsidTr="00972478">
        <w:trPr>
          <w:jc w:val="center"/>
        </w:trPr>
        <w:tc>
          <w:tcPr>
            <w:tcW w:w="1057" w:type="dxa"/>
            <w:tcBorders>
              <w:top w:val="single" w:sz="4" w:space="0" w:color="auto"/>
              <w:bottom w:val="single" w:sz="4" w:space="0" w:color="auto"/>
            </w:tcBorders>
            <w:shd w:val="clear" w:color="auto" w:fill="FFFFFF" w:themeFill="background1"/>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32</w:t>
            </w:r>
          </w:p>
        </w:tc>
        <w:tc>
          <w:tcPr>
            <w:tcW w:w="2023" w:type="dxa"/>
            <w:tcBorders>
              <w:top w:val="single" w:sz="4" w:space="0" w:color="auto"/>
              <w:bottom w:val="single" w:sz="4" w:space="0" w:color="auto"/>
            </w:tcBorders>
            <w:shd w:val="clear" w:color="auto" w:fill="FFFFFF" w:themeFill="background1"/>
          </w:tcPr>
          <w:p w:rsidR="00245F8C" w:rsidRPr="00D51FCD" w:rsidRDefault="00245F8C" w:rsidP="001C115B">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3AEC7508" wp14:editId="1C52850E">
                  <wp:extent cx="1058810" cy="793327"/>
                  <wp:effectExtent l="0" t="0" r="8255" b="0"/>
                  <wp:docPr id="188" name="Picture 188" descr="C:\Users\User\Desktop\New folder\Day 32\DSC0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New folder\Day 32\DSC027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9909" cy="794151"/>
                          </a:xfrm>
                          <a:prstGeom prst="rect">
                            <a:avLst/>
                          </a:prstGeom>
                          <a:noFill/>
                          <a:ln>
                            <a:noFill/>
                          </a:ln>
                        </pic:spPr>
                      </pic:pic>
                    </a:graphicData>
                  </a:graphic>
                </wp:inline>
              </w:drawing>
            </w:r>
          </w:p>
        </w:tc>
        <w:tc>
          <w:tcPr>
            <w:tcW w:w="2023" w:type="dxa"/>
            <w:tcBorders>
              <w:top w:val="single" w:sz="4" w:space="0" w:color="auto"/>
              <w:bottom w:val="single" w:sz="4" w:space="0" w:color="auto"/>
            </w:tcBorders>
            <w:shd w:val="clear" w:color="auto" w:fill="FFFFFF" w:themeFill="background1"/>
          </w:tcPr>
          <w:p w:rsidR="00245F8C" w:rsidRPr="00D51FCD" w:rsidRDefault="00245F8C" w:rsidP="001C115B">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24C73910" wp14:editId="09E4DF86">
                  <wp:extent cx="999467" cy="793327"/>
                  <wp:effectExtent l="0" t="0" r="0" b="0"/>
                  <wp:docPr id="189" name="Picture 189" descr="C:\Users\User\Desktop\masters\Experiments\visual obervation\Day 32\Glycerol based\DSC0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asters\Experiments\visual obervation\Day 32\Glycerol based\DSC023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259" t="35787" r="18959" b="2134"/>
                          <a:stretch/>
                        </pic:blipFill>
                        <pic:spPr bwMode="auto">
                          <a:xfrm>
                            <a:off x="0" y="0"/>
                            <a:ext cx="999930" cy="79369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987" w:type="dxa"/>
            <w:tcBorders>
              <w:top w:val="single" w:sz="4" w:space="0" w:color="auto"/>
              <w:bottom w:val="single" w:sz="4" w:space="0" w:color="auto"/>
            </w:tcBorders>
            <w:shd w:val="clear" w:color="auto" w:fill="FFFFFF" w:themeFill="background1"/>
          </w:tcPr>
          <w:p w:rsidR="00245F8C" w:rsidRPr="00D51FCD" w:rsidRDefault="00245F8C" w:rsidP="001C115B">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2C5FE0D0" wp14:editId="754049D3">
                  <wp:extent cx="963507" cy="797168"/>
                  <wp:effectExtent l="0" t="0" r="1905" b="0"/>
                  <wp:docPr id="190" name="Picture 190" descr="C:\Users\User\Desktop\masters\Experiments\visual obervation\Day 32\Glycerol based\DSC0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asters\Experiments\visual obervation\Day 32\Glycerol based\DSC023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614" t="33550" r="13076" b="-1214"/>
                          <a:stretch/>
                        </pic:blipFill>
                        <pic:spPr bwMode="auto">
                          <a:xfrm>
                            <a:off x="0" y="0"/>
                            <a:ext cx="963953" cy="79753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926" w:type="dxa"/>
            <w:tcBorders>
              <w:top w:val="single" w:sz="4" w:space="0" w:color="auto"/>
              <w:bottom w:val="single" w:sz="4" w:space="0" w:color="auto"/>
            </w:tcBorders>
            <w:shd w:val="clear" w:color="auto" w:fill="FFFFFF" w:themeFill="background1"/>
          </w:tcPr>
          <w:p w:rsidR="00245F8C" w:rsidRPr="00D51FCD" w:rsidRDefault="00245F8C" w:rsidP="001C115B">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3E5D21AF" wp14:editId="15E1FE22">
                  <wp:extent cx="1058810" cy="793327"/>
                  <wp:effectExtent l="0" t="0" r="8255" b="0"/>
                  <wp:docPr id="191" name="Picture 191" descr="C:\Users\User\Desktop\New folder\Day 32\DSC0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New folder\Day 32\DSC027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9300" cy="793694"/>
                          </a:xfrm>
                          <a:prstGeom prst="rect">
                            <a:avLst/>
                          </a:prstGeom>
                          <a:noFill/>
                          <a:ln>
                            <a:noFill/>
                          </a:ln>
                        </pic:spPr>
                      </pic:pic>
                    </a:graphicData>
                  </a:graphic>
                </wp:inline>
              </w:drawing>
            </w:r>
          </w:p>
        </w:tc>
      </w:tr>
    </w:tbl>
    <w:p w:rsidR="000A10BE" w:rsidRPr="00D51FCD" w:rsidRDefault="00972478" w:rsidP="000A10BE">
      <w:pPr>
        <w:spacing w:line="240" w:lineRule="auto"/>
        <w:jc w:val="center"/>
        <w:rPr>
          <w:rFonts w:ascii="Times New Roman" w:hAnsi="Times New Roman" w:cs="Times New Roman"/>
          <w:b/>
          <w:iCs/>
          <w:sz w:val="24"/>
          <w:szCs w:val="24"/>
        </w:rPr>
      </w:pPr>
      <w:bookmarkStart w:id="5" w:name="_Ref479178827"/>
      <w:bookmarkStart w:id="6" w:name="_Toc479690804"/>
      <w:bookmarkStart w:id="7" w:name="_Toc479766364"/>
      <w:r w:rsidRPr="00D51FCD">
        <w:rPr>
          <w:rFonts w:ascii="Times New Roman" w:hAnsi="Times New Roman" w:cs="Times New Roman"/>
          <w:b/>
          <w:iCs/>
          <w:sz w:val="24"/>
          <w:szCs w:val="24"/>
        </w:rPr>
        <w:t xml:space="preserve">Figure </w:t>
      </w:r>
      <w:bookmarkEnd w:id="5"/>
      <w:r w:rsidRPr="00D51FCD">
        <w:rPr>
          <w:rFonts w:ascii="Times New Roman" w:hAnsi="Times New Roman" w:cs="Times New Roman"/>
          <w:b/>
          <w:iCs/>
          <w:sz w:val="24"/>
          <w:szCs w:val="24"/>
        </w:rPr>
        <w:t xml:space="preserve">1 Visual photographs of glycerol DES nanolubricant samples with concentration of 0.01 wt% (left), 0.05 wt% (centre) and 0.10 wt% (right) of F-MWCNT for </w:t>
      </w:r>
      <w:bookmarkEnd w:id="6"/>
      <w:bookmarkEnd w:id="7"/>
      <w:r w:rsidRPr="00D51FCD">
        <w:rPr>
          <w:rFonts w:ascii="Times New Roman" w:hAnsi="Times New Roman" w:cs="Times New Roman"/>
          <w:b/>
          <w:iCs/>
          <w:sz w:val="24"/>
          <w:szCs w:val="24"/>
        </w:rPr>
        <w:t>day 0 and Day 32</w:t>
      </w:r>
    </w:p>
    <w:tbl>
      <w:tblPr>
        <w:tblStyle w:val="TableGrid"/>
        <w:tblW w:w="7696" w:type="dxa"/>
        <w:tblInd w:w="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2097"/>
        <w:gridCol w:w="2097"/>
        <w:gridCol w:w="2026"/>
      </w:tblGrid>
      <w:tr w:rsidR="00245F8C" w:rsidRPr="00D51FCD" w:rsidTr="00972478">
        <w:trPr>
          <w:trHeight w:val="247"/>
        </w:trPr>
        <w:tc>
          <w:tcPr>
            <w:tcW w:w="1476"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Day</w:t>
            </w:r>
          </w:p>
        </w:tc>
        <w:tc>
          <w:tcPr>
            <w:tcW w:w="2097"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DES 5</w:t>
            </w:r>
          </w:p>
        </w:tc>
        <w:tc>
          <w:tcPr>
            <w:tcW w:w="2097"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DES 6</w:t>
            </w:r>
          </w:p>
        </w:tc>
        <w:tc>
          <w:tcPr>
            <w:tcW w:w="2026"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DES 7</w:t>
            </w:r>
          </w:p>
        </w:tc>
      </w:tr>
      <w:tr w:rsidR="00245F8C" w:rsidRPr="00D51FCD" w:rsidTr="00972478">
        <w:trPr>
          <w:trHeight w:val="1222"/>
        </w:trPr>
        <w:tc>
          <w:tcPr>
            <w:tcW w:w="1476"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0</w:t>
            </w:r>
          </w:p>
        </w:tc>
        <w:tc>
          <w:tcPr>
            <w:tcW w:w="2097" w:type="dxa"/>
            <w:tcBorders>
              <w:top w:val="single" w:sz="4" w:space="0" w:color="auto"/>
              <w:bottom w:val="single" w:sz="4" w:space="0" w:color="auto"/>
            </w:tcBorders>
          </w:tcPr>
          <w:p w:rsidR="00245F8C" w:rsidRPr="00D51FCD" w:rsidRDefault="00245F8C" w:rsidP="001C115B">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14A388DC" wp14:editId="60C62395">
                  <wp:extent cx="1080000" cy="810000"/>
                  <wp:effectExtent l="0" t="0" r="6350" b="9525"/>
                  <wp:docPr id="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2097" w:type="dxa"/>
            <w:tcBorders>
              <w:top w:val="single" w:sz="4" w:space="0" w:color="auto"/>
              <w:bottom w:val="single" w:sz="4" w:space="0" w:color="auto"/>
            </w:tcBorders>
          </w:tcPr>
          <w:p w:rsidR="00245F8C" w:rsidRPr="00D51FCD" w:rsidRDefault="00245F8C" w:rsidP="001C115B">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2C4FE5CB" wp14:editId="102F6E59">
                  <wp:extent cx="1080000" cy="810000"/>
                  <wp:effectExtent l="0" t="0" r="6350" b="9525"/>
                  <wp:docPr id="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2026" w:type="dxa"/>
            <w:tcBorders>
              <w:top w:val="single" w:sz="4" w:space="0" w:color="auto"/>
              <w:bottom w:val="single" w:sz="4" w:space="0" w:color="auto"/>
            </w:tcBorders>
          </w:tcPr>
          <w:p w:rsidR="00245F8C" w:rsidRPr="00D51FCD" w:rsidRDefault="00245F8C" w:rsidP="001C115B">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06A8F865" wp14:editId="1B4DE6AD">
                  <wp:extent cx="1080000" cy="810000"/>
                  <wp:effectExtent l="0" t="0" r="6350" b="9525"/>
                  <wp:docPr id="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r>
      <w:tr w:rsidR="00245F8C" w:rsidRPr="00D51FCD" w:rsidTr="00972478">
        <w:trPr>
          <w:trHeight w:val="1397"/>
        </w:trPr>
        <w:tc>
          <w:tcPr>
            <w:tcW w:w="1476"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32</w:t>
            </w:r>
          </w:p>
        </w:tc>
        <w:tc>
          <w:tcPr>
            <w:tcW w:w="2097" w:type="dxa"/>
            <w:tcBorders>
              <w:top w:val="single" w:sz="4" w:space="0" w:color="auto"/>
              <w:bottom w:val="single" w:sz="4" w:space="0" w:color="auto"/>
            </w:tcBorders>
          </w:tcPr>
          <w:p w:rsidR="00245F8C" w:rsidRPr="00D51FCD" w:rsidRDefault="00245F8C" w:rsidP="001C115B">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1697463A" wp14:editId="446DEE92">
                  <wp:extent cx="1080000" cy="811598"/>
                  <wp:effectExtent l="0" t="0" r="6350" b="7620"/>
                  <wp:docPr id="216" name="Picture 216" descr="C:\Users\User\Desktop\masters\Experiments\visual obervation\Day 32\PEG based\DSC0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masters\Experiments\visual obervation\Day 32\PEG based\DSC0232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268" t="36966" r="13160" b="1421"/>
                          <a:stretch/>
                        </pic:blipFill>
                        <pic:spPr bwMode="auto">
                          <a:xfrm>
                            <a:off x="0" y="0"/>
                            <a:ext cx="1080000" cy="81159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097" w:type="dxa"/>
            <w:tcBorders>
              <w:top w:val="single" w:sz="4" w:space="0" w:color="auto"/>
              <w:bottom w:val="single" w:sz="4" w:space="0" w:color="auto"/>
            </w:tcBorders>
          </w:tcPr>
          <w:p w:rsidR="00245F8C" w:rsidRPr="00D51FCD" w:rsidRDefault="00245F8C" w:rsidP="001C115B">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4866262A" wp14:editId="11D2EBE8">
                  <wp:extent cx="1080000" cy="841472"/>
                  <wp:effectExtent l="0" t="0" r="6350" b="0"/>
                  <wp:docPr id="217" name="Picture 217" descr="C:\Users\User\Desktop\masters\Experiments\visual obervation\Day 32\PEG based\DSC0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masters\Experiments\visual obervation\Day 32\PEG based\DSC0232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556" t="37440" r="18855" b="3790"/>
                          <a:stretch/>
                        </pic:blipFill>
                        <pic:spPr bwMode="auto">
                          <a:xfrm>
                            <a:off x="0" y="0"/>
                            <a:ext cx="1080000" cy="84147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026" w:type="dxa"/>
            <w:tcBorders>
              <w:top w:val="single" w:sz="4" w:space="0" w:color="auto"/>
              <w:bottom w:val="single" w:sz="4" w:space="0" w:color="auto"/>
            </w:tcBorders>
          </w:tcPr>
          <w:p w:rsidR="00245F8C" w:rsidRPr="00D51FCD" w:rsidRDefault="00245F8C" w:rsidP="001C115B">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63B0E42B" wp14:editId="142E2B01">
                  <wp:extent cx="1080000" cy="865363"/>
                  <wp:effectExtent l="0" t="0" r="6350" b="0"/>
                  <wp:docPr id="218" name="Picture 218" descr="C:\Users\User\Desktop\masters\Experiments\visual obervation\Day 32\PEG based\DSC0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masters\Experiments\visual obervation\Day 32\PEG based\DSC0232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165" t="36018" r="8537" b="2845"/>
                          <a:stretch/>
                        </pic:blipFill>
                        <pic:spPr bwMode="auto">
                          <a:xfrm>
                            <a:off x="0" y="0"/>
                            <a:ext cx="1080000" cy="86536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B6780E" w:rsidRPr="00D51FCD" w:rsidRDefault="00972478" w:rsidP="000A10BE">
      <w:pPr>
        <w:spacing w:line="240" w:lineRule="auto"/>
        <w:jc w:val="center"/>
        <w:rPr>
          <w:rFonts w:ascii="Times New Roman" w:hAnsi="Times New Roman" w:cs="Times New Roman"/>
          <w:b/>
          <w:iCs/>
          <w:sz w:val="24"/>
          <w:szCs w:val="24"/>
        </w:rPr>
      </w:pPr>
      <w:r w:rsidRPr="00D51FCD">
        <w:rPr>
          <w:rFonts w:ascii="Times New Roman" w:hAnsi="Times New Roman" w:cs="Times New Roman"/>
          <w:b/>
          <w:iCs/>
          <w:sz w:val="24"/>
          <w:szCs w:val="24"/>
        </w:rPr>
        <w:t>Figure 2 Visual photographs of PEG DES nanolubricant samples with concentration of 0.01 wt% (left), 0.05 wt% (centre) and 0.10 wt% (right) of F-MWCNT for day 0 and Day 32</w:t>
      </w:r>
    </w:p>
    <w:p w:rsidR="00C777D4" w:rsidRPr="00D51FCD" w:rsidRDefault="00C777D4" w:rsidP="001C115B">
      <w:pPr>
        <w:spacing w:line="240" w:lineRule="auto"/>
        <w:rPr>
          <w:rFonts w:ascii="Times New Roman" w:hAnsi="Times New Roman" w:cs="Times New Roman"/>
          <w:i/>
          <w:sz w:val="24"/>
          <w:szCs w:val="24"/>
        </w:rPr>
      </w:pPr>
      <w:r w:rsidRPr="00D51FCD">
        <w:rPr>
          <w:rFonts w:ascii="Times New Roman" w:hAnsi="Times New Roman" w:cs="Times New Roman"/>
          <w:i/>
          <w:sz w:val="24"/>
          <w:szCs w:val="24"/>
        </w:rPr>
        <w:t xml:space="preserve">3.1.2 </w:t>
      </w:r>
      <w:r w:rsidR="00B6780E" w:rsidRPr="00D51FCD">
        <w:rPr>
          <w:rFonts w:ascii="Times New Roman" w:hAnsi="Times New Roman" w:cs="Times New Roman"/>
          <w:i/>
          <w:sz w:val="24"/>
          <w:szCs w:val="24"/>
        </w:rPr>
        <w:t xml:space="preserve">Optical Microscopy </w:t>
      </w:r>
    </w:p>
    <w:p w:rsidR="00B6780E" w:rsidRPr="00D51FCD" w:rsidRDefault="00245F8C" w:rsidP="001C115B">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t xml:space="preserve">From </w:t>
      </w:r>
      <w:r w:rsidRPr="00D51FCD">
        <w:rPr>
          <w:rFonts w:ascii="Times New Roman" w:hAnsi="Times New Roman" w:cs="Times New Roman"/>
          <w:sz w:val="24"/>
          <w:szCs w:val="24"/>
        </w:rPr>
        <w:fldChar w:fldCharType="begin"/>
      </w:r>
      <w:r w:rsidRPr="00D51FCD">
        <w:rPr>
          <w:rFonts w:ascii="Times New Roman" w:hAnsi="Times New Roman" w:cs="Times New Roman"/>
          <w:sz w:val="24"/>
          <w:szCs w:val="24"/>
        </w:rPr>
        <w:instrText xml:space="preserve"> REF _Ref479178926 \h  \* MERGEFORMAT </w:instrText>
      </w:r>
      <w:r w:rsidRPr="00D51FCD">
        <w:rPr>
          <w:rFonts w:ascii="Times New Roman" w:hAnsi="Times New Roman" w:cs="Times New Roman"/>
          <w:sz w:val="24"/>
          <w:szCs w:val="24"/>
        </w:rPr>
      </w:r>
      <w:r w:rsidRPr="00D51FCD">
        <w:rPr>
          <w:rFonts w:ascii="Times New Roman" w:hAnsi="Times New Roman" w:cs="Times New Roman"/>
          <w:sz w:val="24"/>
          <w:szCs w:val="24"/>
        </w:rPr>
        <w:fldChar w:fldCharType="separate"/>
      </w:r>
      <w:r w:rsidR="00972478" w:rsidRPr="00D51FCD">
        <w:rPr>
          <w:rFonts w:ascii="Times New Roman" w:hAnsi="Times New Roman" w:cs="Times New Roman"/>
          <w:sz w:val="24"/>
          <w:szCs w:val="24"/>
        </w:rPr>
        <w:t xml:space="preserve">Figure </w:t>
      </w:r>
      <w:r w:rsidRPr="00D51FCD">
        <w:rPr>
          <w:rFonts w:ascii="Times New Roman" w:hAnsi="Times New Roman" w:cs="Times New Roman"/>
          <w:sz w:val="24"/>
          <w:szCs w:val="24"/>
        </w:rPr>
        <w:fldChar w:fldCharType="end"/>
      </w:r>
      <w:r w:rsidR="00972478" w:rsidRPr="00D51FCD">
        <w:rPr>
          <w:rFonts w:ascii="Times New Roman" w:hAnsi="Times New Roman" w:cs="Times New Roman"/>
          <w:sz w:val="24"/>
          <w:szCs w:val="24"/>
        </w:rPr>
        <w:t>3</w:t>
      </w:r>
      <w:r w:rsidRPr="00D51FCD">
        <w:rPr>
          <w:rFonts w:ascii="Times New Roman" w:hAnsi="Times New Roman" w:cs="Times New Roman"/>
          <w:sz w:val="24"/>
          <w:szCs w:val="24"/>
        </w:rPr>
        <w:t xml:space="preserve">, it was found that as the concentration of F-MWCNT was increased the size of agglomerates increases for the nanolubricant samples. For the concentration of 0.01 wt%, the nanoparticle are dispersed in the base fluid with relatively spacing between the nanoparticles and smaller formation of clusters. As the concentration increases to 0.10 wt%, the space </w:t>
      </w:r>
      <w:r w:rsidRPr="00D51FCD">
        <w:rPr>
          <w:rFonts w:ascii="Times New Roman" w:hAnsi="Times New Roman" w:cs="Times New Roman"/>
          <w:sz w:val="24"/>
          <w:szCs w:val="24"/>
        </w:rPr>
        <w:lastRenderedPageBreak/>
        <w:t>between the nanoparticles tend to decrease and the size of the cluster formation increases. The highest average cluster size was observed for sample NF 12 and the lowest average size of cluster was for NF 19. When the clusters are compared between the glycerol DES based nanolubricants and the PEG DES based nanolubricants, the PEG DES based nanolubricants were found to have lower cluster size and more dispersed. Therefore, PEG DES based naolubricant samples have better stability in comparison with glycerol DES based nanolubricant which was also supported by the results found in visual observation.</w:t>
      </w:r>
    </w:p>
    <w:p w:rsidR="000A10BE" w:rsidRPr="00D51FCD" w:rsidRDefault="000A10BE" w:rsidP="001C115B">
      <w:pPr>
        <w:spacing w:line="240" w:lineRule="auto"/>
        <w:jc w:val="both"/>
        <w:rPr>
          <w:rFonts w:ascii="Times New Roman" w:hAnsi="Times New Roman" w:cs="Times New Roman"/>
          <w:sz w:val="24"/>
          <w:szCs w:val="24"/>
        </w:rPr>
      </w:pPr>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2821"/>
        <w:gridCol w:w="2821"/>
      </w:tblGrid>
      <w:tr w:rsidR="00245F8C" w:rsidRPr="00D51FCD" w:rsidTr="000A10BE">
        <w:trPr>
          <w:trHeight w:val="428"/>
        </w:trPr>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1</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6CBB80F9" wp14:editId="704FC618">
                  <wp:extent cx="1080000" cy="810211"/>
                  <wp:effectExtent l="0" t="0" r="6350" b="9525"/>
                  <wp:docPr id="219" name="Picture 219" descr="C:\Users\User\Desktop\masters\Experiments\Optical Microscopy\NF_1_10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sters\Experiments\Optical Microscopy\NF_1_10X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2.4 μm</w:t>
            </w:r>
          </w:p>
        </w:tc>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2</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3F6F6774" wp14:editId="2FE093CD">
                  <wp:extent cx="1080000" cy="810211"/>
                  <wp:effectExtent l="0" t="0" r="6350" b="9525"/>
                  <wp:docPr id="220" name="Picture 220" descr="C:\Users\User\Desktop\masters\Experiments\Optical Microscopy\NF_2_4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sters\Experiments\Optical Microscopy\NF_2_4X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2.6 μm</w:t>
            </w:r>
          </w:p>
        </w:tc>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3</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5592DDF6" wp14:editId="7E5A12EF">
                  <wp:extent cx="1080000" cy="810211"/>
                  <wp:effectExtent l="0" t="0" r="6350" b="9525"/>
                  <wp:docPr id="221" name="Picture 221" descr="C:\Users\User\Desktop\masters\Experiments\Optical Microscopy\NF_3_4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sters\Experiments\Optical Microscopy\NF_3_4X_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3.0 μm</w:t>
            </w:r>
          </w:p>
        </w:tc>
      </w:tr>
      <w:tr w:rsidR="00245F8C" w:rsidRPr="00D51FCD" w:rsidTr="000A10BE">
        <w:trPr>
          <w:trHeight w:val="428"/>
        </w:trPr>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4</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60956298" wp14:editId="5DF44027">
                  <wp:extent cx="1080000" cy="810211"/>
                  <wp:effectExtent l="0" t="0" r="6350" b="9525"/>
                  <wp:docPr id="222" name="Picture 222" descr="C:\Users\User\Desktop\masters\Experiments\Optical Microscopy\NF_4_4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sters\Experiments\Optical Microscopy\NF_4_4X_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1.9 μm</w:t>
            </w:r>
          </w:p>
        </w:tc>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5</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7E4DF753" wp14:editId="10161F38">
                  <wp:extent cx="1080000" cy="810211"/>
                  <wp:effectExtent l="0" t="0" r="6350" b="9525"/>
                  <wp:docPr id="223" name="Picture 223" descr="C:\Users\User\Desktop\masters\Experiments\Optical Microscopy\NF_5_4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sters\Experiments\Optical Microscopy\NF_5_4X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2.4 μm</w:t>
            </w:r>
          </w:p>
        </w:tc>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6</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3BB868C2" wp14:editId="2C97A3E8">
                  <wp:extent cx="1080000" cy="810211"/>
                  <wp:effectExtent l="0" t="0" r="6350" b="9525"/>
                  <wp:docPr id="224" name="Picture 224" descr="C:\Users\User\Desktop\masters\Experiments\Optical Microscopy\NF_6_4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sters\Experiments\Optical Microscopy\NF_6_4X_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2.7 μm</w:t>
            </w:r>
          </w:p>
        </w:tc>
      </w:tr>
      <w:tr w:rsidR="00245F8C" w:rsidRPr="00D51FCD" w:rsidTr="000A10BE">
        <w:trPr>
          <w:trHeight w:val="428"/>
        </w:trPr>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7</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5077D56B" wp14:editId="2043576B">
                  <wp:extent cx="1080000" cy="810211"/>
                  <wp:effectExtent l="0" t="0" r="6350" b="9525"/>
                  <wp:docPr id="225" name="Picture 225" descr="C:\Users\User\Desktop\masters\Experiments\Optical Microscopy\NF_7_4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asters\Experiments\Optical Microscopy\NF_7_4X_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1.4 μm</w:t>
            </w:r>
          </w:p>
        </w:tc>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8</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527D6CC7" wp14:editId="30C2DE05">
                  <wp:extent cx="1080000" cy="810211"/>
                  <wp:effectExtent l="0" t="0" r="6350" b="9525"/>
                  <wp:docPr id="226" name="Picture 226" descr="C:\Users\User\Desktop\masters\Experiments\Optical Microscopy\NF_8_4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asters\Experiments\Optical Microscopy\NF_8_4X_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2.1 μm</w:t>
            </w:r>
          </w:p>
        </w:tc>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9</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3ECC237C" wp14:editId="387A1255">
                  <wp:extent cx="1080000" cy="810211"/>
                  <wp:effectExtent l="0" t="0" r="6350" b="9525"/>
                  <wp:docPr id="227" name="Picture 227" descr="C:\Users\User\Desktop\masters\Experiments\Optical Microscopy\NF_9_4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asters\Experiments\Optical Microscopy\NF_9_4X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2.7 μm</w:t>
            </w:r>
          </w:p>
        </w:tc>
      </w:tr>
      <w:tr w:rsidR="00245F8C" w:rsidRPr="00D51FCD" w:rsidTr="000A10BE">
        <w:trPr>
          <w:trHeight w:val="428"/>
        </w:trPr>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10</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3E1E08E4" wp14:editId="2147EDA5">
                  <wp:extent cx="1080000" cy="810211"/>
                  <wp:effectExtent l="0" t="0" r="6350" b="9525"/>
                  <wp:docPr id="228" name="Picture 228" descr="C:\Users\User\Desktop\masters\Experiments\Optical Microscopy\NF_10_4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asters\Experiments\Optical Microscopy\NF_10_4X_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1.9 μm</w:t>
            </w:r>
          </w:p>
        </w:tc>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11</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5F748C1C" wp14:editId="152FFEB8">
                  <wp:extent cx="1080000" cy="810211"/>
                  <wp:effectExtent l="0" t="0" r="6350" b="9525"/>
                  <wp:docPr id="229" name="Picture 229" descr="C:\Users\User\Desktop\masters\Experiments\Optical Microscopy\NF_11_4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asters\Experiments\Optical Microscopy\NF_11_4X_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1.9 μm</w:t>
            </w:r>
          </w:p>
        </w:tc>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12</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6D4B8593" wp14:editId="0550431B">
                  <wp:extent cx="1080000" cy="810211"/>
                  <wp:effectExtent l="0" t="0" r="6350" b="9525"/>
                  <wp:docPr id="230" name="Picture 230" descr="C:\Users\User\Desktop\masters\Experiments\Optical Microscopy\NF_12_4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asters\Experiments\Optical Microscopy\NF_12_4X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3.5 μm</w:t>
            </w:r>
          </w:p>
        </w:tc>
      </w:tr>
      <w:tr w:rsidR="00245F8C" w:rsidRPr="00D51FCD" w:rsidTr="000A10BE">
        <w:trPr>
          <w:trHeight w:val="428"/>
        </w:trPr>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13</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732B0918" wp14:editId="5508D6F4">
                  <wp:extent cx="1080000" cy="810211"/>
                  <wp:effectExtent l="0" t="0" r="6350" b="9525"/>
                  <wp:docPr id="231" name="Picture 231" descr="C:\Users\User\Desktop\masters\Experiments\Optical Microscopy\NF_13_4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masters\Experiments\Optical Microscopy\NF_13_4X_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2.2 μm</w:t>
            </w:r>
          </w:p>
        </w:tc>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14</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4F2B2495" wp14:editId="45274F15">
                  <wp:extent cx="1080000" cy="810211"/>
                  <wp:effectExtent l="0" t="0" r="6350" b="9525"/>
                  <wp:docPr id="232" name="Picture 232" descr="C:\Users\User\Desktop\masters\Experiments\Optical Microscopy\NF_14_4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masters\Experiments\Optical Microscopy\NF_14_4X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1.8 μm</w:t>
            </w:r>
          </w:p>
        </w:tc>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15</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1011A223" wp14:editId="0F85D376">
                  <wp:extent cx="1080000" cy="810211"/>
                  <wp:effectExtent l="0" t="0" r="6350" b="9525"/>
                  <wp:docPr id="233" name="Picture 233" descr="C:\Users\User\Desktop\masters\Experiments\Optical Microscopy\NF_15_4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masters\Experiments\Optical Microscopy\NF_15_4X_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2.6 μm</w:t>
            </w:r>
          </w:p>
        </w:tc>
      </w:tr>
      <w:tr w:rsidR="00245F8C" w:rsidRPr="00D51FCD" w:rsidTr="000A10BE">
        <w:trPr>
          <w:trHeight w:val="428"/>
        </w:trPr>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16</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1C0E18EE" wp14:editId="63DF2BBD">
                  <wp:extent cx="1080000" cy="810211"/>
                  <wp:effectExtent l="0" t="0" r="6350" b="9525"/>
                  <wp:docPr id="234" name="Picture 234" descr="C:\Users\User\Desktop\masters\Experiments\Optical Microscopy\NF_16_4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masters\Experiments\Optical Microscopy\NF_16_4X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1.7 μm</w:t>
            </w:r>
          </w:p>
        </w:tc>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17</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039DE43B" wp14:editId="5B49547E">
                  <wp:extent cx="1080000" cy="810211"/>
                  <wp:effectExtent l="0" t="0" r="6350" b="9525"/>
                  <wp:docPr id="235" name="Picture 235" descr="C:\Users\User\Desktop\masters\Experiments\Optical Microscopy\NF_17_4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masters\Experiments\Optical Microscopy\NF_17_4X_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1.6 μm</w:t>
            </w:r>
          </w:p>
        </w:tc>
        <w:tc>
          <w:tcPr>
            <w:tcW w:w="2821" w:type="dxa"/>
            <w:tcBorders>
              <w:top w:val="single" w:sz="4" w:space="0" w:color="auto"/>
              <w:bottom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18</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273B544B" wp14:editId="2A1D9804">
                  <wp:extent cx="1080000" cy="810211"/>
                  <wp:effectExtent l="0" t="0" r="6350" b="9525"/>
                  <wp:docPr id="236" name="Picture 236" descr="C:\Users\User\Desktop\masters\Experiments\Optical Microscopy\NF_18_4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masters\Experiments\Optical Microscopy\NF_18_4X_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1.8 μm</w:t>
            </w:r>
          </w:p>
        </w:tc>
      </w:tr>
      <w:tr w:rsidR="00245F8C" w:rsidRPr="00D51FCD" w:rsidTr="000A10BE">
        <w:trPr>
          <w:trHeight w:val="428"/>
        </w:trPr>
        <w:tc>
          <w:tcPr>
            <w:tcW w:w="2821" w:type="dxa"/>
            <w:tcBorders>
              <w:top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lastRenderedPageBreak/>
              <w:t>NF 19</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4C5D91F7" wp14:editId="3CB599A1">
                  <wp:extent cx="1080000" cy="810211"/>
                  <wp:effectExtent l="0" t="0" r="6350" b="9525"/>
                  <wp:docPr id="237" name="Picture 237" descr="C:\Users\User\Desktop\masters\Experiments\Optical Microscopy\NF_19_4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masters\Experiments\Optical Microscopy\NF_19_4X_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1.2 μm</w:t>
            </w:r>
          </w:p>
        </w:tc>
        <w:tc>
          <w:tcPr>
            <w:tcW w:w="2821" w:type="dxa"/>
            <w:tcBorders>
              <w:top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20</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1DD39AB8" wp14:editId="59E34787">
                  <wp:extent cx="1080000" cy="810211"/>
                  <wp:effectExtent l="0" t="0" r="6350" b="9525"/>
                  <wp:docPr id="238" name="Picture 238" descr="C:\Users\User\Desktop\masters\Experiments\Optical Microscopy\NF_20_4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masters\Experiments\Optical Microscopy\NF_20_4X_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2.1 μm</w:t>
            </w:r>
          </w:p>
        </w:tc>
        <w:tc>
          <w:tcPr>
            <w:tcW w:w="2821" w:type="dxa"/>
            <w:tcBorders>
              <w:top w:val="single" w:sz="4" w:space="0" w:color="auto"/>
            </w:tcBorders>
          </w:tcPr>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NF 21</w:t>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7F3BF934" wp14:editId="3AD44710">
                  <wp:extent cx="1080000" cy="810211"/>
                  <wp:effectExtent l="0" t="0" r="6350" b="9525"/>
                  <wp:docPr id="239" name="Picture 239" descr="C:\Users\User\Desktop\masters\Experiments\Optical Microscopy\NF_21_4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masters\Experiments\Optical Microscopy\NF_21_4X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0" cy="810211"/>
                          </a:xfrm>
                          <a:prstGeom prst="rect">
                            <a:avLst/>
                          </a:prstGeom>
                          <a:noFill/>
                          <a:ln>
                            <a:noFill/>
                          </a:ln>
                        </pic:spPr>
                      </pic:pic>
                    </a:graphicData>
                  </a:graphic>
                </wp:inline>
              </w:drawing>
            </w:r>
          </w:p>
          <w:p w:rsidR="00245F8C" w:rsidRPr="00D51FCD" w:rsidRDefault="00245F8C" w:rsidP="001C115B">
            <w:pPr>
              <w:jc w:val="center"/>
              <w:rPr>
                <w:rFonts w:ascii="Times New Roman" w:hAnsi="Times New Roman" w:cs="Times New Roman"/>
                <w:sz w:val="24"/>
                <w:szCs w:val="24"/>
              </w:rPr>
            </w:pPr>
            <w:r w:rsidRPr="00D51FCD">
              <w:rPr>
                <w:rFonts w:ascii="Times New Roman" w:hAnsi="Times New Roman" w:cs="Times New Roman"/>
                <w:sz w:val="24"/>
                <w:szCs w:val="24"/>
              </w:rPr>
              <w:t>1.7 μm</w:t>
            </w:r>
          </w:p>
        </w:tc>
      </w:tr>
    </w:tbl>
    <w:p w:rsidR="00972478" w:rsidRPr="00D51FCD" w:rsidRDefault="00972478" w:rsidP="00972478">
      <w:pPr>
        <w:spacing w:line="480" w:lineRule="auto"/>
        <w:jc w:val="center"/>
        <w:rPr>
          <w:rFonts w:ascii="Times New Roman" w:hAnsi="Times New Roman" w:cs="Times New Roman"/>
          <w:i/>
          <w:sz w:val="24"/>
          <w:szCs w:val="24"/>
        </w:rPr>
      </w:pPr>
      <w:bookmarkStart w:id="8" w:name="_Ref479178926"/>
      <w:bookmarkStart w:id="9" w:name="_Toc479690806"/>
      <w:bookmarkStart w:id="10" w:name="_Toc479766366"/>
      <w:r w:rsidRPr="00D51FCD">
        <w:rPr>
          <w:rFonts w:ascii="Times New Roman" w:hAnsi="Times New Roman" w:cs="Times New Roman"/>
          <w:b/>
          <w:iCs/>
          <w:sz w:val="24"/>
          <w:szCs w:val="24"/>
        </w:rPr>
        <w:t xml:space="preserve">Figure </w:t>
      </w:r>
      <w:bookmarkEnd w:id="8"/>
      <w:r w:rsidRPr="00D51FCD">
        <w:rPr>
          <w:rFonts w:ascii="Times New Roman" w:hAnsi="Times New Roman" w:cs="Times New Roman"/>
          <w:b/>
          <w:iCs/>
          <w:sz w:val="24"/>
          <w:szCs w:val="24"/>
        </w:rPr>
        <w:t>3 Optical microscopy images of the nanolubricant samples</w:t>
      </w:r>
      <w:bookmarkEnd w:id="9"/>
      <w:bookmarkEnd w:id="10"/>
    </w:p>
    <w:p w:rsidR="00441283" w:rsidRPr="00D51FCD" w:rsidRDefault="00441283" w:rsidP="001C115B">
      <w:pPr>
        <w:spacing w:line="240" w:lineRule="auto"/>
        <w:rPr>
          <w:rFonts w:ascii="Times New Roman" w:hAnsi="Times New Roman" w:cs="Times New Roman"/>
          <w:i/>
          <w:sz w:val="24"/>
          <w:szCs w:val="24"/>
        </w:rPr>
      </w:pPr>
      <w:r w:rsidRPr="00D51FCD">
        <w:rPr>
          <w:rFonts w:ascii="Times New Roman" w:hAnsi="Times New Roman" w:cs="Times New Roman"/>
          <w:i/>
          <w:sz w:val="24"/>
          <w:szCs w:val="24"/>
        </w:rPr>
        <w:t xml:space="preserve">3.2 </w:t>
      </w:r>
      <w:r w:rsidR="001C115B" w:rsidRPr="00D51FCD">
        <w:rPr>
          <w:rFonts w:ascii="Times New Roman" w:hAnsi="Times New Roman" w:cs="Times New Roman"/>
          <w:i/>
          <w:sz w:val="24"/>
          <w:szCs w:val="24"/>
        </w:rPr>
        <w:t>Density</w:t>
      </w:r>
    </w:p>
    <w:p w:rsidR="001C115B" w:rsidRPr="00D51FCD" w:rsidRDefault="001C115B" w:rsidP="001C115B">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t xml:space="preserve">The density of nanolubricant was investigated with increasing the concentration of F-MWCNT over a range of temperature. The density decreases linearly as the temperature increases for all the samples and the lowest density was obtained at the temperature 90°C. </w:t>
      </w:r>
      <w:r w:rsidR="003C48EF" w:rsidRPr="00D51FCD">
        <w:rPr>
          <w:rFonts w:ascii="Times New Roman" w:hAnsi="Times New Roman" w:cs="Times New Roman"/>
          <w:sz w:val="24"/>
          <w:szCs w:val="24"/>
        </w:rPr>
        <w:t>The increase in temperature</w:t>
      </w:r>
      <w:r w:rsidRPr="00D51FCD">
        <w:rPr>
          <w:rFonts w:ascii="Times New Roman" w:hAnsi="Times New Roman" w:cs="Times New Roman"/>
          <w:sz w:val="24"/>
          <w:szCs w:val="24"/>
        </w:rPr>
        <w:t xml:space="preserve"> leads to thermal expansion of the molecules </w:t>
      </w:r>
      <w:r w:rsidR="003C48EF" w:rsidRPr="00D51FCD">
        <w:rPr>
          <w:rFonts w:ascii="Times New Roman" w:hAnsi="Times New Roman" w:cs="Times New Roman"/>
          <w:sz w:val="24"/>
          <w:szCs w:val="24"/>
        </w:rPr>
        <w:t>resulting in</w:t>
      </w:r>
      <w:r w:rsidRPr="00D51FCD">
        <w:rPr>
          <w:rFonts w:ascii="Times New Roman" w:hAnsi="Times New Roman" w:cs="Times New Roman"/>
          <w:sz w:val="24"/>
          <w:szCs w:val="24"/>
        </w:rPr>
        <w:t xml:space="preserve"> reduction in density</w:t>
      </w:r>
      <w:r w:rsidR="00414DA5" w:rsidRPr="00D51FCD">
        <w:rPr>
          <w:rFonts w:ascii="Times New Roman" w:hAnsi="Times New Roman" w:cs="Times New Roman"/>
          <w:sz w:val="24"/>
          <w:szCs w:val="24"/>
        </w:rPr>
        <w:t xml:space="preserve"> </w:t>
      </w:r>
      <w:r w:rsidR="00414DA5" w:rsidRPr="00D51FCD">
        <w:rPr>
          <w:rFonts w:ascii="Times New Roman" w:hAnsi="Times New Roman" w:cs="Times New Roman"/>
          <w:sz w:val="24"/>
          <w:szCs w:val="24"/>
        </w:rPr>
        <w:fldChar w:fldCharType="begin" w:fldLock="1"/>
      </w:r>
      <w:r w:rsidR="00C11E3B" w:rsidRPr="00D51FCD">
        <w:rPr>
          <w:rFonts w:ascii="Times New Roman" w:hAnsi="Times New Roman" w:cs="Times New Roman"/>
          <w:sz w:val="24"/>
          <w:szCs w:val="24"/>
        </w:rPr>
        <w:instrText>ADDIN CSL_CITATION { "citationItems" : [ { "id" : "ITEM-1", "itemData" : { "DOI" : "10.1016/j.fluid.2012.08.016", "ISSN" : "03783812", "author" : [ { "dropping-particle" : "", "family" : "Leron", "given" : "Rhoda B.", "non-dropping-particle" : "", "parse-names" : false, "suffix" : "" }, { "dropping-particle" : "", "family" : "Wong", "given" : "David Shan Hill", "non-dropping-particle" : "", "parse-names" : false, "suffix" : "" }, { "dropping-particle" : "", "family" : "Li", "given" : "Meng-Hui", "non-dropping-particle" : "", "parse-names" : false, "suffix" : "" } ], "container-title" : "Fluid Phase Equilibria", "id" : "ITEM-1", "issued" : { "date-parts" : [ [ "2012" ] ] }, "page" : "32-38", "publisher" : "Elsevier B.V.", "title" : "Densities of a deep eutectic solvent based on choline chloride and glycerol and its aqueous mixtures at elevated pressures", "type" : "article-journal", "volume" : "335" }, "uris" : [ "http://www.mendeley.com/documents/?uuid=4b825153-9da6-4f92-ae01-46bc174f19e1" ] } ], "mendeley" : { "formattedCitation" : "[25]", "plainTextFormattedCitation" : "[25]", "previouslyFormattedCitation" : "[25]" }, "properties" : { "noteIndex" : 0 }, "schema" : "https://github.com/citation-style-language/schema/raw/master/csl-citation.json" }</w:instrText>
      </w:r>
      <w:r w:rsidR="00414DA5" w:rsidRPr="00D51FCD">
        <w:rPr>
          <w:rFonts w:ascii="Times New Roman" w:hAnsi="Times New Roman" w:cs="Times New Roman"/>
          <w:sz w:val="24"/>
          <w:szCs w:val="24"/>
        </w:rPr>
        <w:fldChar w:fldCharType="separate"/>
      </w:r>
      <w:r w:rsidR="008859B9" w:rsidRPr="00D51FCD">
        <w:rPr>
          <w:rFonts w:ascii="Times New Roman" w:hAnsi="Times New Roman" w:cs="Times New Roman"/>
          <w:noProof/>
          <w:sz w:val="24"/>
          <w:szCs w:val="24"/>
        </w:rPr>
        <w:t>[</w:t>
      </w:r>
      <w:r w:rsidR="00AA0629" w:rsidRPr="00D51FCD">
        <w:rPr>
          <w:rFonts w:ascii="Times New Roman" w:hAnsi="Times New Roman" w:cs="Times New Roman"/>
          <w:noProof/>
          <w:sz w:val="24"/>
          <w:szCs w:val="24"/>
        </w:rPr>
        <w:t>23</w:t>
      </w:r>
      <w:r w:rsidR="00414DA5" w:rsidRPr="00D51FCD">
        <w:rPr>
          <w:rFonts w:ascii="Times New Roman" w:hAnsi="Times New Roman" w:cs="Times New Roman"/>
          <w:noProof/>
          <w:sz w:val="24"/>
          <w:szCs w:val="24"/>
        </w:rPr>
        <w:t>]</w:t>
      </w:r>
      <w:r w:rsidR="00414DA5" w:rsidRPr="00D51FCD">
        <w:rPr>
          <w:rFonts w:ascii="Times New Roman" w:hAnsi="Times New Roman" w:cs="Times New Roman"/>
          <w:sz w:val="24"/>
          <w:szCs w:val="24"/>
        </w:rPr>
        <w:fldChar w:fldCharType="end"/>
      </w:r>
      <w:r w:rsidRPr="00D51FCD">
        <w:rPr>
          <w:rFonts w:ascii="Times New Roman" w:hAnsi="Times New Roman" w:cs="Times New Roman"/>
          <w:sz w:val="24"/>
          <w:szCs w:val="24"/>
        </w:rPr>
        <w:t>.</w:t>
      </w:r>
    </w:p>
    <w:p w:rsidR="001C115B" w:rsidRPr="00D51FCD" w:rsidRDefault="001C115B" w:rsidP="001C115B">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tab/>
        <w:t xml:space="preserve">Most of the densities of DES 2, 3, 6 and 7 based nanolubricant showed very small variation with addition of F-MWCNT nanoparticles. Apparent increase of densities were observed for DES 1, DES 4 and DES 5 based nanolubricants over the range of temperature shown in </w:t>
      </w:r>
      <w:r w:rsidRPr="00D51FCD">
        <w:rPr>
          <w:rFonts w:ascii="Times New Roman" w:hAnsi="Times New Roman" w:cs="Times New Roman"/>
          <w:sz w:val="24"/>
          <w:szCs w:val="24"/>
        </w:rPr>
        <w:fldChar w:fldCharType="begin"/>
      </w:r>
      <w:r w:rsidRPr="00D51FCD">
        <w:rPr>
          <w:rFonts w:ascii="Times New Roman" w:hAnsi="Times New Roman" w:cs="Times New Roman"/>
          <w:sz w:val="24"/>
          <w:szCs w:val="24"/>
        </w:rPr>
        <w:instrText xml:space="preserve"> REF _Ref479179290 \h  \* MERGEFORMAT </w:instrText>
      </w:r>
      <w:r w:rsidRPr="00D51FCD">
        <w:rPr>
          <w:rFonts w:ascii="Times New Roman" w:hAnsi="Times New Roman" w:cs="Times New Roman"/>
          <w:sz w:val="24"/>
          <w:szCs w:val="24"/>
        </w:rPr>
      </w:r>
      <w:r w:rsidRPr="00D51FCD">
        <w:rPr>
          <w:rFonts w:ascii="Times New Roman" w:hAnsi="Times New Roman" w:cs="Times New Roman"/>
          <w:sz w:val="24"/>
          <w:szCs w:val="24"/>
        </w:rPr>
        <w:fldChar w:fldCharType="separate"/>
      </w:r>
      <w:r w:rsidRPr="00D51FCD">
        <w:rPr>
          <w:rFonts w:ascii="Times New Roman" w:hAnsi="Times New Roman" w:cs="Times New Roman"/>
          <w:sz w:val="24"/>
          <w:szCs w:val="24"/>
        </w:rPr>
        <w:t>Figure 4</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a, </w:t>
      </w:r>
      <w:r w:rsidRPr="00D51FCD">
        <w:rPr>
          <w:rFonts w:ascii="Times New Roman" w:hAnsi="Times New Roman" w:cs="Times New Roman"/>
          <w:sz w:val="24"/>
          <w:szCs w:val="24"/>
        </w:rPr>
        <w:fldChar w:fldCharType="begin"/>
      </w:r>
      <w:r w:rsidRPr="00D51FCD">
        <w:rPr>
          <w:rFonts w:ascii="Times New Roman" w:hAnsi="Times New Roman" w:cs="Times New Roman"/>
          <w:sz w:val="24"/>
          <w:szCs w:val="24"/>
        </w:rPr>
        <w:instrText xml:space="preserve"> REF _Ref479179290 \h  \* MERGEFORMAT </w:instrText>
      </w:r>
      <w:r w:rsidRPr="00D51FCD">
        <w:rPr>
          <w:rFonts w:ascii="Times New Roman" w:hAnsi="Times New Roman" w:cs="Times New Roman"/>
          <w:sz w:val="24"/>
          <w:szCs w:val="24"/>
        </w:rPr>
      </w:r>
      <w:r w:rsidRPr="00D51FCD">
        <w:rPr>
          <w:rFonts w:ascii="Times New Roman" w:hAnsi="Times New Roman" w:cs="Times New Roman"/>
          <w:sz w:val="24"/>
          <w:szCs w:val="24"/>
        </w:rPr>
        <w:fldChar w:fldCharType="separate"/>
      </w:r>
      <w:r w:rsidRPr="00D51FCD">
        <w:rPr>
          <w:rFonts w:ascii="Times New Roman" w:hAnsi="Times New Roman" w:cs="Times New Roman"/>
          <w:sz w:val="24"/>
          <w:szCs w:val="24"/>
        </w:rPr>
        <w:t>Figure 4</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d, and </w:t>
      </w:r>
      <w:r w:rsidRPr="00D51FCD">
        <w:rPr>
          <w:rFonts w:ascii="Times New Roman" w:hAnsi="Times New Roman" w:cs="Times New Roman"/>
          <w:sz w:val="24"/>
          <w:szCs w:val="24"/>
        </w:rPr>
        <w:fldChar w:fldCharType="begin"/>
      </w:r>
      <w:r w:rsidRPr="00D51FCD">
        <w:rPr>
          <w:rFonts w:ascii="Times New Roman" w:hAnsi="Times New Roman" w:cs="Times New Roman"/>
          <w:sz w:val="24"/>
          <w:szCs w:val="24"/>
        </w:rPr>
        <w:instrText xml:space="preserve"> REF _Ref479179405 \h  \* MERGEFORMAT </w:instrText>
      </w:r>
      <w:r w:rsidRPr="00D51FCD">
        <w:rPr>
          <w:rFonts w:ascii="Times New Roman" w:hAnsi="Times New Roman" w:cs="Times New Roman"/>
          <w:sz w:val="24"/>
          <w:szCs w:val="24"/>
        </w:rPr>
      </w:r>
      <w:r w:rsidRPr="00D51FCD">
        <w:rPr>
          <w:rFonts w:ascii="Times New Roman" w:hAnsi="Times New Roman" w:cs="Times New Roman"/>
          <w:sz w:val="24"/>
          <w:szCs w:val="24"/>
        </w:rPr>
        <w:fldChar w:fldCharType="separate"/>
      </w:r>
      <w:r w:rsidRPr="00D51FCD">
        <w:rPr>
          <w:rFonts w:ascii="Times New Roman" w:hAnsi="Times New Roman" w:cs="Times New Roman"/>
          <w:sz w:val="24"/>
          <w:szCs w:val="24"/>
        </w:rPr>
        <w:t xml:space="preserve">Figure </w:t>
      </w:r>
      <w:r w:rsidR="00F35933" w:rsidRPr="00D51FCD">
        <w:rPr>
          <w:rFonts w:ascii="Times New Roman" w:hAnsi="Times New Roman" w:cs="Times New Roman"/>
          <w:sz w:val="24"/>
          <w:szCs w:val="24"/>
        </w:rPr>
        <w:t>5</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a. The density of MWCNT nanoparticles are relatively higher and when added to the base fluid will increase the density of the nanofluid </w:t>
      </w:r>
      <w:r w:rsidRPr="00D51FCD">
        <w:rPr>
          <w:rFonts w:ascii="Times New Roman" w:hAnsi="Times New Roman" w:cs="Times New Roman"/>
          <w:sz w:val="24"/>
          <w:szCs w:val="24"/>
        </w:rPr>
        <w:fldChar w:fldCharType="begin" w:fldLock="1"/>
      </w:r>
      <w:r w:rsidR="00D92291" w:rsidRPr="00D51FCD">
        <w:rPr>
          <w:rFonts w:ascii="Times New Roman" w:hAnsi="Times New Roman" w:cs="Times New Roman"/>
          <w:sz w:val="24"/>
          <w:szCs w:val="24"/>
        </w:rPr>
        <w:instrText>ADDIN CSL_CITATION { "citationItems" : [ { "id" : "ITEM-1", "itemData" : { "DOI" : "10.1088/2053-1591/1/3/032001", "ISSN" : "2053-1591", "author" : [ { "dropping-particle" : "", "family" : "Rashmi", "given" : "W", "non-dropping-particle" : "", "parse-names" : false, "suffix" : "" }, { "dropping-particle" : "", "family" : "Khalid", "given" : "M", "non-dropping-particle" : "", "parse-names" : false, "suffix" : "" }, { "dropping-particle" : "", "family" : "Ong", "given" : "S S", "non-dropping-particle" : "", "parse-names" : false, "suffix" : "" }, { "dropping-particle" : "", "family" : "Saidur", "given" : "R", "non-dropping-particle" : "", "parse-names" : false, "suffix" : "" } ], "container-title" : "Materials Research Express", "id" : "ITEM-1", "issue" : "3", "issued" : { "date-parts" : [ [ "2014" ] ] }, "page" : "032001", "publisher" : "IOP Publishing", "title" : "Preparation, thermo-physical properties and heat transfer enhancement of nanofluids", "type" : "article-journal", "volume" : "1" }, "uris" : [ "http://www.mendeley.com/documents/?uuid=256e6b16-5cc6-4f2d-993d-34c70a24b650" ] } ], "mendeley" : { "formattedCitation" : "[22]", "plainTextFormattedCitation" : "[22]", "previouslyFormattedCitation" : "[22]"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00AA0629" w:rsidRPr="00D51FCD">
        <w:rPr>
          <w:rFonts w:ascii="Times New Roman" w:hAnsi="Times New Roman" w:cs="Times New Roman"/>
          <w:noProof/>
          <w:sz w:val="24"/>
          <w:szCs w:val="24"/>
        </w:rPr>
        <w:t xml:space="preserve"> </w:t>
      </w:r>
      <w:r w:rsidR="0099326C" w:rsidRPr="00D51FCD">
        <w:rPr>
          <w:rFonts w:ascii="Times New Roman" w:hAnsi="Times New Roman" w:cs="Times New Roman"/>
          <w:noProof/>
          <w:sz w:val="24"/>
          <w:szCs w:val="24"/>
        </w:rPr>
        <w:t>[</w:t>
      </w:r>
      <w:r w:rsidR="00AA0629" w:rsidRPr="00D51FCD">
        <w:rPr>
          <w:rFonts w:ascii="Times New Roman" w:hAnsi="Times New Roman" w:cs="Times New Roman"/>
          <w:noProof/>
          <w:sz w:val="24"/>
          <w:szCs w:val="24"/>
        </w:rPr>
        <w:t>23</w:t>
      </w:r>
      <w:r w:rsidR="0039571D" w:rsidRPr="00D51FCD">
        <w:rPr>
          <w:rFonts w:ascii="Times New Roman" w:hAnsi="Times New Roman" w:cs="Times New Roman"/>
          <w:noProof/>
          <w:sz w:val="24"/>
          <w:szCs w:val="24"/>
        </w:rPr>
        <w:t>]</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 The addition of nanoparticles increases the density which is similar to MWCNT water-ethylene glycol nanofluid found by </w:t>
      </w:r>
      <w:r w:rsidRPr="00D51FCD">
        <w:rPr>
          <w:rFonts w:ascii="Times New Roman" w:hAnsi="Times New Roman" w:cs="Times New Roman"/>
          <w:sz w:val="24"/>
          <w:szCs w:val="24"/>
        </w:rPr>
        <w:fldChar w:fldCharType="begin" w:fldLock="1"/>
      </w:r>
      <w:r w:rsidR="00D92291" w:rsidRPr="00D51FCD">
        <w:rPr>
          <w:rFonts w:ascii="Times New Roman" w:hAnsi="Times New Roman" w:cs="Times New Roman"/>
          <w:sz w:val="24"/>
          <w:szCs w:val="24"/>
        </w:rPr>
        <w:instrText>ADDIN CSL_CITATION { "citationItems" : [ { "id" : "ITEM-1", "itemData" : { "DOI" : "10.1016/j.tca.2012.07.017", "ISSN" : "00406031", "abstract" : "The present study is aimed to measure and analyze the thermo-physical properties of water-ethylene glycol mixture based CNT nanofluids experimentally at various temperatures. The measured density data show observable deviation from the predictions of the Pak and Cho correlation, due to spontaneous filling of water inside the carbon nanotubes in a confined way. The presence of multi wall carbon nanotubes (MWCNT) enhances the specific heat of the nanofluids considerably, and this enhancement decreases with increase of the MWCNT concentration. The maximum thermal conductivity enhancement reaches up to 19.75% for the nanofluid containing 0.45 vol.% MWCNT at 40??C. At a lower temperature range, the increase in the viscosity is low compared to the higher temperature for all the nanofluids. Further, the existing theoretical models could not predict the thermo-physical property values accurately, and the deviation has a great influence on the determination of the flow and heat transfer characteristics. ?? 2012 Elsevier B.V. All rights reserved.", "author" : [ { "dropping-particle" : "", "family" : "Kumaresan", "given" : "V.", "non-dropping-particle" : "", "parse-names" : false, "suffix" : "" }, { "dropping-particle" : "", "family" : "Velraj", "given" : "R.", "non-dropping-particle" : "", "parse-names" : false, "suffix" : "" } ], "container-title" : "Thermochimica Acta", "id" : "ITEM-1", "issued" : { "date-parts" : [ [ "2012" ] ] }, "page" : "180-186", "publisher" : "Elsevier B.V.", "title" : "Experimental investigation of the thermo-physical properties of water-ethylene glycol mixture based CNT nanofluids", "type" : "article-journal", "volume" : "545" }, "uris" : [ "http://www.mendeley.com/documents/?uuid=d7e5408d-821c-4786-9f9c-cadf5f8704fc" ] } ], "mendeley" : { "formattedCitation" : "[26]", "manualFormatting" : "Kumaresan &amp; Velraj, (2012)", "plainTextFormattedCitation" : "[26]", "previouslyFormattedCitation" : "[26]"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Pr="00D51FCD">
        <w:rPr>
          <w:rFonts w:ascii="Times New Roman" w:hAnsi="Times New Roman" w:cs="Times New Roman"/>
          <w:noProof/>
          <w:sz w:val="24"/>
          <w:szCs w:val="24"/>
        </w:rPr>
        <w:t>Kumaresan &amp; Velraj</w:t>
      </w:r>
      <w:r w:rsidR="008859B9" w:rsidRPr="00D51FCD">
        <w:rPr>
          <w:rFonts w:ascii="Times New Roman" w:hAnsi="Times New Roman" w:cs="Times New Roman"/>
          <w:noProof/>
          <w:sz w:val="24"/>
          <w:szCs w:val="24"/>
        </w:rPr>
        <w:t xml:space="preserve"> [</w:t>
      </w:r>
      <w:r w:rsidR="00AA0629" w:rsidRPr="00D51FCD">
        <w:rPr>
          <w:rFonts w:ascii="Times New Roman" w:hAnsi="Times New Roman" w:cs="Times New Roman"/>
          <w:noProof/>
          <w:sz w:val="24"/>
          <w:szCs w:val="24"/>
        </w:rPr>
        <w:t>24</w:t>
      </w:r>
      <w:r w:rsidR="008859B9" w:rsidRPr="00D51FCD">
        <w:rPr>
          <w:rFonts w:ascii="Times New Roman" w:hAnsi="Times New Roman" w:cs="Times New Roman"/>
          <w:noProof/>
          <w:sz w:val="24"/>
          <w:szCs w:val="24"/>
        </w:rPr>
        <w:t>]</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 and also in MWCNT heat transfer oil nanofluid found by </w:t>
      </w:r>
      <w:r w:rsidRPr="00D51FCD">
        <w:rPr>
          <w:rFonts w:ascii="Times New Roman" w:hAnsi="Times New Roman" w:cs="Times New Roman"/>
          <w:sz w:val="24"/>
          <w:szCs w:val="24"/>
        </w:rPr>
        <w:fldChar w:fldCharType="begin" w:fldLock="1"/>
      </w:r>
      <w:r w:rsidR="00D92291" w:rsidRPr="00D51FCD">
        <w:rPr>
          <w:rFonts w:ascii="Times New Roman" w:hAnsi="Times New Roman" w:cs="Times New Roman"/>
          <w:sz w:val="24"/>
          <w:szCs w:val="24"/>
        </w:rPr>
        <w:instrText>ADDIN CSL_CITATION { "citationItems" : [ { "id" : "ITEM-1", "itemData" : { "DOI" : "10.1016/j.expthermflusci.2012.02.005", "ISBN" : "0894-1777", "ISSN" : "08941777", "abstract" : "This study deals with an experimental investigation on the thermo-physical properties and overall performance of MWCNT/heat transfer oil nanofluids flow inside vertical helically coiled tubes. Data were acquired for the laminar flow in the thermal entrance region, while the temperature of the tube wall was constant at around 95. ??C leading to isothermal boundary condition. Pure heat transfer oil and nanofluids with particle weight concentrations of 0.1%, 0.2% and 0.4% were utilized as the working fluids. It was observed that most conventional models fail to predict the thermo-physical properties of the applied nanofluids accurately, especially in case of the specific heat capacity. Therefore, rough empirical correlations were developed to estimate such properties for the working fluids. In addition, the overall performance of the tested helically coiled tubes was assessed based on the performance index and optimum work conditions were determined. High overall performance index of up to 6.4 was obtained for the simultaneous utilization of both heat transfer enhancement techniques considered in this paper. Hence, applying the methods studied here could be considered as a good choice in practical applications. ?? 2012 Elsevier Inc.", "author" : [ { "dropping-particle" : "", "family" : "Fakoor Pakdaman", "given" : "M.", "non-dropping-particle" : "", "parse-names" : false, "suffix" : "" }, { "dropping-particle" : "", "family" : "Akhavan-Behabadi", "given" : "M. A.", "non-dropping-particle" : "", "parse-names" : false, "suffix" : "" }, { "dropping-particle" : "", "family" : "Razi", "given" : "P.", "non-dropping-particle" : "", "parse-names" : false, "suffix" : "" } ], "container-title" : "Experimental Thermal and Fluid Science", "id" : "ITEM-1", "issued" : { "date-parts" : [ [ "2012" ] ] }, "page" : "103-111", "publisher" : "Elsevier Inc.", "title" : "An experimental investigation on thermo-physical properties and overall performance of MWCNT/heat transfer oil nanofluid flow inside vertical helically coiled tubes", "type" : "article-journal", "volume" : "40" }, "uris" : [ "http://www.mendeley.com/documents/?uuid=93ec99c8-c7d0-429b-bc50-dd326c9d1ac6" ] } ], "mendeley" : { "formattedCitation" : "[27]", "manualFormatting" : "Fakoor et al (2012)", "plainTextFormattedCitation" : "[27]", "previouslyFormattedCitation" : "[27]"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Pr="00D51FCD">
        <w:rPr>
          <w:rFonts w:ascii="Times New Roman" w:hAnsi="Times New Roman" w:cs="Times New Roman"/>
          <w:noProof/>
          <w:sz w:val="24"/>
          <w:szCs w:val="24"/>
        </w:rPr>
        <w:t xml:space="preserve">Fakoor et al </w:t>
      </w:r>
      <w:r w:rsidR="008859B9" w:rsidRPr="00D51FCD">
        <w:rPr>
          <w:rFonts w:ascii="Times New Roman" w:hAnsi="Times New Roman" w:cs="Times New Roman"/>
          <w:noProof/>
          <w:sz w:val="24"/>
          <w:szCs w:val="24"/>
        </w:rPr>
        <w:t>[</w:t>
      </w:r>
      <w:r w:rsidR="00AA0629" w:rsidRPr="00D51FCD">
        <w:rPr>
          <w:rFonts w:ascii="Times New Roman" w:hAnsi="Times New Roman" w:cs="Times New Roman"/>
          <w:noProof/>
          <w:sz w:val="24"/>
          <w:szCs w:val="24"/>
        </w:rPr>
        <w:t>25</w:t>
      </w:r>
      <w:r w:rsidR="008859B9" w:rsidRPr="00D51FCD">
        <w:rPr>
          <w:rFonts w:ascii="Times New Roman" w:hAnsi="Times New Roman" w:cs="Times New Roman"/>
          <w:noProof/>
          <w:sz w:val="24"/>
          <w:szCs w:val="24"/>
        </w:rPr>
        <w:t xml:space="preserve">] </w:t>
      </w:r>
      <w:r w:rsidRPr="00D51FCD">
        <w:rPr>
          <w:rFonts w:ascii="Times New Roman" w:hAnsi="Times New Roman" w:cs="Times New Roman"/>
          <w:sz w:val="24"/>
          <w:szCs w:val="24"/>
        </w:rPr>
        <w:fldChar w:fldCharType="end"/>
      </w:r>
      <w:r w:rsidR="008859B9" w:rsidRPr="00D51FCD">
        <w:rPr>
          <w:rFonts w:ascii="Times New Roman" w:hAnsi="Times New Roman" w:cs="Times New Roman"/>
          <w:sz w:val="24"/>
          <w:szCs w:val="24"/>
        </w:rPr>
        <w:t>.</w:t>
      </w:r>
    </w:p>
    <w:tbl>
      <w:tblPr>
        <w:tblStyle w:val="TableGrid2"/>
        <w:tblW w:w="9070" w:type="dxa"/>
        <w:tblLook w:val="04A0" w:firstRow="1" w:lastRow="0" w:firstColumn="1" w:lastColumn="0" w:noHBand="0" w:noVBand="1"/>
      </w:tblPr>
      <w:tblGrid>
        <w:gridCol w:w="4535"/>
        <w:gridCol w:w="4535"/>
      </w:tblGrid>
      <w:tr w:rsidR="001C115B" w:rsidRPr="00D51FCD" w:rsidTr="00F35933">
        <w:trPr>
          <w:trHeight w:val="2835"/>
        </w:trPr>
        <w:tc>
          <w:tcPr>
            <w:tcW w:w="4535" w:type="dxa"/>
          </w:tcPr>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12AE77A5" wp14:editId="4A30B77A">
                  <wp:extent cx="2700000" cy="1800000"/>
                  <wp:effectExtent l="0" t="0" r="5715" b="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C115B" w:rsidRPr="00D51FCD" w:rsidRDefault="001C115B" w:rsidP="001C115B">
            <w:pPr>
              <w:ind w:left="360"/>
              <w:jc w:val="center"/>
              <w:rPr>
                <w:rFonts w:ascii="Times New Roman" w:hAnsi="Times New Roman" w:cs="Times New Roman"/>
                <w:sz w:val="24"/>
                <w:szCs w:val="24"/>
              </w:rPr>
            </w:pPr>
            <w:r w:rsidRPr="00D51FCD">
              <w:rPr>
                <w:rFonts w:ascii="Times New Roman" w:hAnsi="Times New Roman" w:cs="Times New Roman"/>
                <w:sz w:val="24"/>
                <w:szCs w:val="24"/>
              </w:rPr>
              <w:t>a) DES 1 based nanolubricants</w:t>
            </w:r>
          </w:p>
        </w:tc>
        <w:tc>
          <w:tcPr>
            <w:tcW w:w="4535" w:type="dxa"/>
          </w:tcPr>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49FBA88C" wp14:editId="567DEBE8">
                  <wp:extent cx="2700000" cy="1800000"/>
                  <wp:effectExtent l="0" t="0" r="5715" b="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D51FCD">
              <w:rPr>
                <w:rFonts w:ascii="Times New Roman" w:hAnsi="Times New Roman" w:cs="Times New Roman"/>
                <w:sz w:val="24"/>
                <w:szCs w:val="24"/>
              </w:rPr>
              <w:t>b) DES 2 based nanolubricants</w:t>
            </w:r>
          </w:p>
        </w:tc>
      </w:tr>
      <w:tr w:rsidR="001C115B" w:rsidRPr="00D51FCD" w:rsidTr="00F35933">
        <w:trPr>
          <w:trHeight w:val="2835"/>
        </w:trPr>
        <w:tc>
          <w:tcPr>
            <w:tcW w:w="4535" w:type="dxa"/>
          </w:tcPr>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37D01672" wp14:editId="44F9F439">
                  <wp:extent cx="2700000" cy="1800000"/>
                  <wp:effectExtent l="0" t="0" r="5715" b="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sz w:val="24"/>
                <w:szCs w:val="24"/>
              </w:rPr>
              <w:t>c) DES 3 based nanolubricants</w:t>
            </w:r>
          </w:p>
        </w:tc>
        <w:tc>
          <w:tcPr>
            <w:tcW w:w="4535" w:type="dxa"/>
          </w:tcPr>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441AFC42" wp14:editId="5A4C49BD">
                  <wp:extent cx="2700000" cy="1800000"/>
                  <wp:effectExtent l="0" t="0" r="5715" b="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sz w:val="24"/>
                <w:szCs w:val="24"/>
              </w:rPr>
              <w:t>d) DES 4 based nanolubricants</w:t>
            </w:r>
          </w:p>
        </w:tc>
      </w:tr>
    </w:tbl>
    <w:p w:rsidR="003041A5" w:rsidRPr="00D51FCD" w:rsidRDefault="001C115B" w:rsidP="003041A5">
      <w:pPr>
        <w:pStyle w:val="Caption"/>
        <w:jc w:val="center"/>
        <w:rPr>
          <w:rFonts w:cs="Times New Roman"/>
          <w:b/>
          <w:i w:val="0"/>
          <w:iCs w:val="0"/>
          <w:color w:val="auto"/>
          <w:sz w:val="24"/>
          <w:szCs w:val="24"/>
        </w:rPr>
      </w:pPr>
      <w:bookmarkStart w:id="11" w:name="_Ref479179290"/>
      <w:bookmarkStart w:id="12" w:name="_Toc479690809"/>
      <w:bookmarkStart w:id="13" w:name="_Toc479766369"/>
      <w:r w:rsidRPr="00D51FCD">
        <w:rPr>
          <w:rFonts w:cs="Times New Roman"/>
          <w:b/>
          <w:i w:val="0"/>
          <w:iCs w:val="0"/>
          <w:color w:val="auto"/>
          <w:sz w:val="24"/>
          <w:szCs w:val="24"/>
        </w:rPr>
        <w:t>Figure 4</w:t>
      </w:r>
      <w:bookmarkEnd w:id="11"/>
      <w:r w:rsidRPr="00D51FCD">
        <w:rPr>
          <w:rFonts w:cs="Times New Roman"/>
          <w:b/>
          <w:i w:val="0"/>
          <w:iCs w:val="0"/>
          <w:color w:val="auto"/>
          <w:sz w:val="24"/>
          <w:szCs w:val="24"/>
        </w:rPr>
        <w:t xml:space="preserve"> Density of a) DES 1 B) DES 2 c) DES 3 d) DES 4 based nanolubricants with respect to concentration of F-MWCNT</w:t>
      </w:r>
      <w:bookmarkEnd w:id="12"/>
      <w:bookmarkEnd w:id="13"/>
      <w:r w:rsidR="003041A5" w:rsidRPr="00D51FCD">
        <w:rPr>
          <w:rFonts w:cs="Times New Roman"/>
          <w:b/>
          <w:i w:val="0"/>
          <w:iCs w:val="0"/>
          <w:color w:val="auto"/>
          <w:sz w:val="24"/>
          <w:szCs w:val="24"/>
        </w:rPr>
        <w:t xml:space="preserve"> at temperature of 25</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 40</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 and 90</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w:t>
      </w:r>
    </w:p>
    <w:p w:rsidR="001C115B" w:rsidRPr="00D51FCD" w:rsidRDefault="001C115B" w:rsidP="001C115B">
      <w:pPr>
        <w:pStyle w:val="Caption"/>
        <w:jc w:val="center"/>
        <w:rPr>
          <w:rFonts w:cs="Times New Roman"/>
          <w:b/>
          <w:i w:val="0"/>
          <w:iCs w:val="0"/>
          <w:color w:val="auto"/>
          <w:sz w:val="24"/>
          <w:szCs w:val="24"/>
        </w:rPr>
      </w:pPr>
    </w:p>
    <w:p w:rsidR="001C115B" w:rsidRPr="00D51FCD" w:rsidRDefault="001C115B" w:rsidP="001C115B">
      <w:pPr>
        <w:spacing w:line="240" w:lineRule="auto"/>
        <w:jc w:val="center"/>
        <w:rPr>
          <w:rFonts w:ascii="Times New Roman" w:hAnsi="Times New Roman" w:cs="Times New Roman"/>
          <w:b/>
          <w:sz w:val="24"/>
          <w:szCs w:val="24"/>
        </w:rPr>
      </w:pPr>
    </w:p>
    <w:tbl>
      <w:tblPr>
        <w:tblStyle w:val="TableGrid2"/>
        <w:tblW w:w="9688" w:type="dxa"/>
        <w:tblInd w:w="-35" w:type="dxa"/>
        <w:tblLayout w:type="fixed"/>
        <w:tblLook w:val="04A0" w:firstRow="1" w:lastRow="0" w:firstColumn="1" w:lastColumn="0" w:noHBand="0" w:noVBand="1"/>
      </w:tblPr>
      <w:tblGrid>
        <w:gridCol w:w="2376"/>
        <w:gridCol w:w="2180"/>
        <w:gridCol w:w="2562"/>
        <w:gridCol w:w="1974"/>
        <w:gridCol w:w="596"/>
      </w:tblGrid>
      <w:tr w:rsidR="001C115B" w:rsidRPr="00D51FCD" w:rsidTr="00F35933">
        <w:trPr>
          <w:gridAfter w:val="1"/>
          <w:wAfter w:w="596" w:type="dxa"/>
          <w:trHeight w:val="2835"/>
        </w:trPr>
        <w:tc>
          <w:tcPr>
            <w:tcW w:w="4556" w:type="dxa"/>
            <w:gridSpan w:val="2"/>
          </w:tcPr>
          <w:p w:rsidR="001C115B" w:rsidRPr="00D51FCD" w:rsidRDefault="001C115B" w:rsidP="001C115B">
            <w:pPr>
              <w:jc w:val="center"/>
              <w:rPr>
                <w:rFonts w:ascii="Times New Roman" w:hAnsi="Times New Roman" w:cs="Times New Roman"/>
                <w:b/>
                <w:sz w:val="24"/>
                <w:szCs w:val="24"/>
              </w:rPr>
            </w:pPr>
            <w:r w:rsidRPr="00D51FCD">
              <w:rPr>
                <w:rFonts w:ascii="Times New Roman" w:hAnsi="Times New Roman" w:cs="Times New Roman"/>
                <w:noProof/>
                <w:sz w:val="24"/>
                <w:szCs w:val="24"/>
                <w:lang w:val="en-US"/>
              </w:rPr>
              <w:drawing>
                <wp:inline distT="0" distB="0" distL="0" distR="0" wp14:anchorId="3BB5C8BA" wp14:editId="47E26515">
                  <wp:extent cx="2880000" cy="1800000"/>
                  <wp:effectExtent l="0" t="0" r="0" b="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D51FCD">
              <w:rPr>
                <w:rFonts w:ascii="Times New Roman" w:hAnsi="Times New Roman" w:cs="Times New Roman"/>
                <w:sz w:val="24"/>
                <w:szCs w:val="24"/>
              </w:rPr>
              <w:t>a) DES 5 based nanolubricant</w:t>
            </w:r>
          </w:p>
        </w:tc>
        <w:tc>
          <w:tcPr>
            <w:tcW w:w="4536" w:type="dxa"/>
            <w:gridSpan w:val="2"/>
          </w:tcPr>
          <w:p w:rsidR="001C115B" w:rsidRPr="00D51FCD" w:rsidRDefault="001C115B" w:rsidP="001C115B">
            <w:pPr>
              <w:jc w:val="center"/>
              <w:rPr>
                <w:rFonts w:ascii="Times New Roman" w:hAnsi="Times New Roman" w:cs="Times New Roman"/>
                <w:b/>
                <w:sz w:val="24"/>
                <w:szCs w:val="24"/>
              </w:rPr>
            </w:pPr>
            <w:r w:rsidRPr="00D51FCD">
              <w:rPr>
                <w:rFonts w:ascii="Times New Roman" w:hAnsi="Times New Roman" w:cs="Times New Roman"/>
                <w:noProof/>
                <w:sz w:val="24"/>
                <w:szCs w:val="24"/>
                <w:lang w:val="en-US"/>
              </w:rPr>
              <w:drawing>
                <wp:inline distT="0" distB="0" distL="0" distR="0" wp14:anchorId="534CA47B" wp14:editId="3E4ED1F5">
                  <wp:extent cx="2880000" cy="1800000"/>
                  <wp:effectExtent l="0" t="0" r="0" b="0"/>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sz w:val="24"/>
                <w:szCs w:val="24"/>
              </w:rPr>
              <w:t>b) DES 6 based nanolubricant</w:t>
            </w:r>
          </w:p>
        </w:tc>
      </w:tr>
      <w:tr w:rsidR="001C115B" w:rsidRPr="00D51FCD" w:rsidTr="00F35933">
        <w:trPr>
          <w:trHeight w:val="2835"/>
        </w:trPr>
        <w:tc>
          <w:tcPr>
            <w:tcW w:w="2376" w:type="dxa"/>
            <w:tcBorders>
              <w:left w:val="nil"/>
              <w:bottom w:val="nil"/>
            </w:tcBorders>
          </w:tcPr>
          <w:p w:rsidR="001C115B" w:rsidRPr="00D51FCD" w:rsidRDefault="001C115B" w:rsidP="001C115B">
            <w:pPr>
              <w:jc w:val="center"/>
              <w:rPr>
                <w:rFonts w:ascii="Times New Roman" w:hAnsi="Times New Roman" w:cs="Times New Roman"/>
                <w:b/>
                <w:sz w:val="24"/>
                <w:szCs w:val="24"/>
              </w:rPr>
            </w:pPr>
          </w:p>
        </w:tc>
        <w:tc>
          <w:tcPr>
            <w:tcW w:w="4742" w:type="dxa"/>
            <w:gridSpan w:val="2"/>
          </w:tcPr>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70D98495" wp14:editId="63C04D80">
                  <wp:extent cx="2880000" cy="1800000"/>
                  <wp:effectExtent l="0" t="0" r="0" b="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C115B" w:rsidRPr="00D51FCD" w:rsidRDefault="001C115B" w:rsidP="001C115B">
            <w:pPr>
              <w:jc w:val="center"/>
              <w:rPr>
                <w:rFonts w:ascii="Times New Roman" w:hAnsi="Times New Roman" w:cs="Times New Roman"/>
                <w:b/>
                <w:sz w:val="24"/>
                <w:szCs w:val="24"/>
              </w:rPr>
            </w:pPr>
            <w:r w:rsidRPr="00D51FCD">
              <w:rPr>
                <w:rFonts w:ascii="Times New Roman" w:hAnsi="Times New Roman" w:cs="Times New Roman"/>
                <w:sz w:val="24"/>
                <w:szCs w:val="24"/>
              </w:rPr>
              <w:t>c) DES 7 based nanolubricant</w:t>
            </w:r>
          </w:p>
        </w:tc>
        <w:tc>
          <w:tcPr>
            <w:tcW w:w="2570" w:type="dxa"/>
            <w:gridSpan w:val="2"/>
            <w:tcBorders>
              <w:top w:val="nil"/>
              <w:bottom w:val="nil"/>
              <w:right w:val="nil"/>
            </w:tcBorders>
          </w:tcPr>
          <w:p w:rsidR="001C115B" w:rsidRPr="00D51FCD" w:rsidRDefault="001C115B" w:rsidP="001C115B">
            <w:pPr>
              <w:jc w:val="center"/>
              <w:rPr>
                <w:rFonts w:ascii="Times New Roman" w:hAnsi="Times New Roman" w:cs="Times New Roman"/>
                <w:b/>
                <w:sz w:val="24"/>
                <w:szCs w:val="24"/>
              </w:rPr>
            </w:pPr>
          </w:p>
        </w:tc>
      </w:tr>
    </w:tbl>
    <w:p w:rsidR="003041A5" w:rsidRPr="00D51FCD" w:rsidRDefault="00F35933" w:rsidP="003041A5">
      <w:pPr>
        <w:pStyle w:val="Caption"/>
        <w:jc w:val="center"/>
        <w:rPr>
          <w:rFonts w:cs="Times New Roman"/>
          <w:b/>
          <w:i w:val="0"/>
          <w:iCs w:val="0"/>
          <w:color w:val="auto"/>
          <w:sz w:val="24"/>
          <w:szCs w:val="24"/>
        </w:rPr>
      </w:pPr>
      <w:bookmarkStart w:id="14" w:name="_Ref479179405"/>
      <w:bookmarkStart w:id="15" w:name="_Toc479690810"/>
      <w:bookmarkStart w:id="16" w:name="_Toc479766370"/>
      <w:r w:rsidRPr="00D51FCD">
        <w:rPr>
          <w:rFonts w:cs="Times New Roman"/>
          <w:b/>
          <w:i w:val="0"/>
          <w:iCs w:val="0"/>
          <w:color w:val="auto"/>
          <w:sz w:val="24"/>
          <w:szCs w:val="24"/>
        </w:rPr>
        <w:t>Figure 5</w:t>
      </w:r>
      <w:bookmarkEnd w:id="14"/>
      <w:r w:rsidRPr="00D51FCD">
        <w:rPr>
          <w:rFonts w:cs="Times New Roman"/>
          <w:b/>
          <w:i w:val="0"/>
          <w:iCs w:val="0"/>
          <w:color w:val="auto"/>
          <w:sz w:val="24"/>
          <w:szCs w:val="24"/>
        </w:rPr>
        <w:t xml:space="preserve"> </w:t>
      </w:r>
      <w:r w:rsidR="001C115B" w:rsidRPr="00D51FCD">
        <w:rPr>
          <w:rFonts w:cs="Times New Roman"/>
          <w:b/>
          <w:i w:val="0"/>
          <w:iCs w:val="0"/>
          <w:color w:val="auto"/>
          <w:sz w:val="24"/>
          <w:szCs w:val="24"/>
        </w:rPr>
        <w:t>Density of a) DES 5 b) DES 6 c) DES 7 based nanolubricants with respect to concentration of F-MWCNT</w:t>
      </w:r>
      <w:bookmarkEnd w:id="15"/>
      <w:bookmarkEnd w:id="16"/>
      <w:r w:rsidR="003041A5" w:rsidRPr="00D51FCD">
        <w:rPr>
          <w:rFonts w:cs="Times New Roman"/>
          <w:b/>
          <w:i w:val="0"/>
          <w:iCs w:val="0"/>
          <w:color w:val="auto"/>
          <w:sz w:val="24"/>
          <w:szCs w:val="24"/>
        </w:rPr>
        <w:t xml:space="preserve"> at temperature of 25</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 40</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 and 90</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w:t>
      </w:r>
    </w:p>
    <w:p w:rsidR="001C115B" w:rsidRPr="00D51FCD" w:rsidRDefault="001C115B" w:rsidP="001C115B">
      <w:pPr>
        <w:pStyle w:val="Caption"/>
        <w:jc w:val="center"/>
        <w:rPr>
          <w:rFonts w:cs="Times New Roman"/>
          <w:b/>
          <w:i w:val="0"/>
          <w:iCs w:val="0"/>
          <w:color w:val="auto"/>
          <w:sz w:val="24"/>
          <w:szCs w:val="24"/>
        </w:rPr>
      </w:pPr>
    </w:p>
    <w:p w:rsidR="001C115B" w:rsidRPr="00D51FCD" w:rsidRDefault="001C115B" w:rsidP="001C115B">
      <w:pPr>
        <w:spacing w:line="240" w:lineRule="auto"/>
        <w:rPr>
          <w:rFonts w:ascii="Times New Roman" w:hAnsi="Times New Roman" w:cs="Times New Roman"/>
          <w:i/>
          <w:sz w:val="24"/>
          <w:szCs w:val="24"/>
        </w:rPr>
      </w:pPr>
    </w:p>
    <w:p w:rsidR="00441283" w:rsidRPr="00D51FCD" w:rsidRDefault="00441283" w:rsidP="001C115B">
      <w:pPr>
        <w:spacing w:line="240" w:lineRule="auto"/>
        <w:rPr>
          <w:rFonts w:ascii="Times New Roman" w:hAnsi="Times New Roman" w:cs="Times New Roman"/>
          <w:i/>
          <w:sz w:val="24"/>
          <w:szCs w:val="24"/>
        </w:rPr>
      </w:pPr>
      <w:r w:rsidRPr="00D51FCD">
        <w:rPr>
          <w:rFonts w:ascii="Times New Roman" w:hAnsi="Times New Roman" w:cs="Times New Roman"/>
          <w:i/>
          <w:sz w:val="24"/>
          <w:szCs w:val="24"/>
        </w:rPr>
        <w:t>3.3</w:t>
      </w:r>
      <w:r w:rsidR="001C115B" w:rsidRPr="00D51FCD">
        <w:rPr>
          <w:rFonts w:ascii="Times New Roman" w:hAnsi="Times New Roman" w:cs="Times New Roman"/>
          <w:i/>
          <w:sz w:val="24"/>
          <w:szCs w:val="24"/>
        </w:rPr>
        <w:t xml:space="preserve"> Viscosity</w:t>
      </w:r>
    </w:p>
    <w:p w:rsidR="00B31907" w:rsidRPr="00D51FCD" w:rsidRDefault="001C115B" w:rsidP="001C115B">
      <w:pPr>
        <w:spacing w:line="240" w:lineRule="auto"/>
        <w:rPr>
          <w:rFonts w:ascii="Times New Roman" w:hAnsi="Times New Roman" w:cs="Times New Roman"/>
          <w:sz w:val="24"/>
          <w:szCs w:val="24"/>
        </w:rPr>
      </w:pPr>
      <w:r w:rsidRPr="00D51FCD">
        <w:rPr>
          <w:rFonts w:ascii="Times New Roman" w:hAnsi="Times New Roman" w:cs="Times New Roman"/>
          <w:sz w:val="24"/>
          <w:szCs w:val="24"/>
        </w:rPr>
        <w:t>The addition of nanoparticles leads to certain enhancement of dynamic viscosity and the percentage enhancement of dynamic viscosity wa</w:t>
      </w:r>
      <w:r w:rsidR="00F35933" w:rsidRPr="00D51FCD">
        <w:rPr>
          <w:rFonts w:ascii="Times New Roman" w:hAnsi="Times New Roman" w:cs="Times New Roman"/>
          <w:sz w:val="24"/>
          <w:szCs w:val="24"/>
        </w:rPr>
        <w:t xml:space="preserve">s calculated by using the Eq. 1 </w:t>
      </w:r>
      <w:r w:rsidRPr="00D51FCD">
        <w:rPr>
          <w:rFonts w:ascii="Times New Roman" w:hAnsi="Times New Roman" w:cs="Times New Roman"/>
          <w:sz w:val="24"/>
          <w:szCs w:val="24"/>
        </w:rPr>
        <w:t>for tempe</w:t>
      </w:r>
      <w:r w:rsidR="00B31907" w:rsidRPr="00D51FCD">
        <w:rPr>
          <w:rFonts w:ascii="Times New Roman" w:hAnsi="Times New Roman" w:cs="Times New Roman"/>
          <w:sz w:val="24"/>
          <w:szCs w:val="24"/>
        </w:rPr>
        <w:t>rature of 25°C, 40°C and 100°C.</w:t>
      </w:r>
    </w:p>
    <w:p w:rsidR="001C115B" w:rsidRPr="00D51FCD" w:rsidRDefault="001C115B" w:rsidP="001C115B">
      <w:pPr>
        <w:spacing w:line="240" w:lineRule="auto"/>
        <w:rPr>
          <w:rFonts w:ascii="Times New Roman" w:hAnsi="Times New Roman" w:cs="Times New Roman"/>
          <w:sz w:val="24"/>
          <w:szCs w:val="24"/>
        </w:rPr>
      </w:pPr>
      <m:oMath>
        <m:r>
          <w:rPr>
            <w:rFonts w:ascii="Cambria Math" w:hAnsi="Cambria Math" w:cs="Times New Roman"/>
            <w:sz w:val="24"/>
            <w:szCs w:val="24"/>
          </w:rPr>
          <m:t>Enhancement of Dynamic Viscosity=</m:t>
        </m:r>
        <m:d>
          <m:dPr>
            <m:ctrlPr>
              <w:rPr>
                <w:rFonts w:ascii="Cambria Math" w:hAnsi="Cambria Math" w:cs="Times New Roman"/>
                <w:i/>
                <w:sz w:val="24"/>
                <w:szCs w:val="24"/>
              </w:rPr>
            </m:ctrlPr>
          </m:dPr>
          <m:e>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 xml:space="preserve">nf  - </m:t>
                        </m:r>
                      </m:sub>
                    </m:sSub>
                    <m:r>
                      <w:rPr>
                        <w:rFonts w:ascii="Cambria Math" w:hAnsi="Cambria Math" w:cs="Times New Roman"/>
                        <w:sz w:val="24"/>
                        <w:szCs w:val="24"/>
                      </w:rPr>
                      <m:t>μ</m:t>
                    </m:r>
                  </m:e>
                  <m:sub>
                    <m:r>
                      <w:rPr>
                        <w:rFonts w:ascii="Cambria Math" w:hAnsi="Cambria Math" w:cs="Times New Roman"/>
                        <w:sz w:val="24"/>
                        <w:szCs w:val="24"/>
                      </w:rPr>
                      <m:t xml:space="preserve">bf </m:t>
                    </m:r>
                  </m:sub>
                </m:sSub>
                <m:r>
                  <w:rPr>
                    <w:rFonts w:ascii="Cambria Math" w:hAnsi="Cambria Math" w:cs="Times New Roman"/>
                    <w:sz w:val="24"/>
                    <w:szCs w:val="24"/>
                  </w:rPr>
                  <m:t xml:space="preserve">     </m:t>
                </m:r>
              </m:num>
              <m:den>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bf</m:t>
                    </m:r>
                  </m:sub>
                </m:sSub>
              </m:den>
            </m:f>
            <m:r>
              <w:rPr>
                <w:rFonts w:ascii="Cambria Math" w:hAnsi="Cambria Math" w:cs="Times New Roman"/>
                <w:sz w:val="24"/>
                <w:szCs w:val="24"/>
              </w:rPr>
              <m:t xml:space="preserve"> </m:t>
            </m:r>
          </m:e>
        </m:d>
        <m:r>
          <w:rPr>
            <w:rFonts w:ascii="Cambria Math" w:hAnsi="Cambria Math" w:cs="Times New Roman"/>
            <w:sz w:val="24"/>
            <w:szCs w:val="24"/>
          </w:rPr>
          <m:t xml:space="preserve"> </m:t>
        </m:r>
        <m:r>
          <w:rPr>
            <w:rFonts w:ascii="Cambria Math" w:hAnsi="Cambria Math" w:cs="Times New Roman"/>
            <w:sz w:val="24"/>
            <w:szCs w:val="24"/>
          </w:rPr>
          <m:t>×</m:t>
        </m:r>
        <m:r>
          <w:rPr>
            <w:rFonts w:ascii="Cambria Math" w:hAnsi="Cambria Math" w:cs="Times New Roman"/>
            <w:sz w:val="24"/>
            <w:szCs w:val="24"/>
          </w:rPr>
          <m:t>100</m:t>
        </m:r>
        <m:r>
          <w:rPr>
            <w:rFonts w:ascii="Cambria Math" w:hAnsi="Cambria Math" w:cs="Times New Roman"/>
            <w:sz w:val="24"/>
            <w:szCs w:val="24"/>
          </w:rPr>
          <m:t>%</m:t>
        </m:r>
      </m:oMath>
      <w:r w:rsidR="00B31907" w:rsidRPr="00D51FCD">
        <w:rPr>
          <w:rFonts w:ascii="Times New Roman" w:eastAsiaTheme="minorEastAsia" w:hAnsi="Times New Roman" w:cs="Times New Roman"/>
          <w:sz w:val="24"/>
          <w:szCs w:val="24"/>
        </w:rPr>
        <w:t xml:space="preserve">           </w:t>
      </w:r>
      <w:r w:rsidR="00F35933" w:rsidRPr="00D51FCD">
        <w:rPr>
          <w:rFonts w:ascii="Times New Roman" w:eastAsiaTheme="minorEastAsia" w:hAnsi="Times New Roman" w:cs="Times New Roman"/>
          <w:sz w:val="24"/>
          <w:szCs w:val="24"/>
        </w:rPr>
        <w:t xml:space="preserve">                (1</w:t>
      </w:r>
      <w:r w:rsidRPr="00D51FCD">
        <w:rPr>
          <w:rFonts w:ascii="Times New Roman" w:eastAsiaTheme="minorEastAsia" w:hAnsi="Times New Roman" w:cs="Times New Roman"/>
          <w:sz w:val="24"/>
          <w:szCs w:val="24"/>
        </w:rPr>
        <w:t>)</w:t>
      </w:r>
    </w:p>
    <w:p w:rsidR="001C115B" w:rsidRPr="00D51FCD" w:rsidRDefault="001C115B" w:rsidP="001C115B">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t>Where,</w:t>
      </w:r>
    </w:p>
    <w:p w:rsidR="001C115B" w:rsidRPr="00D51FCD" w:rsidRDefault="001C115B" w:rsidP="001C115B">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t>μ</w:t>
      </w:r>
      <w:r w:rsidRPr="00D51FCD">
        <w:rPr>
          <w:rFonts w:ascii="Times New Roman" w:hAnsi="Times New Roman" w:cs="Times New Roman"/>
          <w:sz w:val="24"/>
          <w:szCs w:val="24"/>
          <w:vertAlign w:val="subscript"/>
        </w:rPr>
        <w:t xml:space="preserve">nf = </w:t>
      </w:r>
      <w:r w:rsidRPr="00D51FCD">
        <w:rPr>
          <w:rFonts w:ascii="Times New Roman" w:hAnsi="Times New Roman" w:cs="Times New Roman"/>
          <w:sz w:val="24"/>
          <w:szCs w:val="24"/>
        </w:rPr>
        <w:t>dynamic viscosity of nanalubricant</w:t>
      </w:r>
    </w:p>
    <w:p w:rsidR="001C115B" w:rsidRPr="00D51FCD" w:rsidRDefault="001C115B" w:rsidP="001C115B">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t>μ</w:t>
      </w:r>
      <w:r w:rsidRPr="00D51FCD">
        <w:rPr>
          <w:rFonts w:ascii="Times New Roman" w:hAnsi="Times New Roman" w:cs="Times New Roman"/>
          <w:sz w:val="24"/>
          <w:szCs w:val="24"/>
          <w:vertAlign w:val="subscript"/>
        </w:rPr>
        <w:t>bf</w:t>
      </w:r>
      <w:r w:rsidRPr="00D51FCD">
        <w:rPr>
          <w:rFonts w:ascii="Times New Roman" w:hAnsi="Times New Roman" w:cs="Times New Roman"/>
          <w:sz w:val="24"/>
          <w:szCs w:val="24"/>
        </w:rPr>
        <w:t xml:space="preserve"> = dynamic viscosity of base fluid DES</w:t>
      </w:r>
    </w:p>
    <w:p w:rsidR="001C115B" w:rsidRPr="00D51FCD" w:rsidRDefault="001C115B" w:rsidP="001C115B">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tab/>
        <w:t xml:space="preserve">From </w:t>
      </w:r>
      <w:r w:rsidRPr="00D51FCD">
        <w:rPr>
          <w:rFonts w:ascii="Times New Roman" w:hAnsi="Times New Roman" w:cs="Times New Roman"/>
          <w:sz w:val="24"/>
          <w:szCs w:val="24"/>
        </w:rPr>
        <w:fldChar w:fldCharType="begin"/>
      </w:r>
      <w:r w:rsidRPr="00D51FCD">
        <w:rPr>
          <w:rFonts w:ascii="Times New Roman" w:hAnsi="Times New Roman" w:cs="Times New Roman"/>
          <w:sz w:val="24"/>
          <w:szCs w:val="24"/>
        </w:rPr>
        <w:instrText xml:space="preserve"> REF _Ref479629287 \h  \* MERGEFORMAT </w:instrText>
      </w:r>
      <w:r w:rsidRPr="00D51FCD">
        <w:rPr>
          <w:rFonts w:ascii="Times New Roman" w:hAnsi="Times New Roman" w:cs="Times New Roman"/>
          <w:sz w:val="24"/>
          <w:szCs w:val="24"/>
        </w:rPr>
      </w:r>
      <w:r w:rsidRPr="00D51FCD">
        <w:rPr>
          <w:rFonts w:ascii="Times New Roman" w:hAnsi="Times New Roman" w:cs="Times New Roman"/>
          <w:sz w:val="24"/>
          <w:szCs w:val="24"/>
        </w:rPr>
        <w:fldChar w:fldCharType="separate"/>
      </w:r>
      <w:r w:rsidR="000E0B96" w:rsidRPr="00D51FCD">
        <w:rPr>
          <w:rFonts w:ascii="Times New Roman" w:hAnsi="Times New Roman" w:cs="Times New Roman"/>
          <w:sz w:val="24"/>
          <w:szCs w:val="24"/>
        </w:rPr>
        <w:t>Figure 6</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 and </w:t>
      </w:r>
      <w:r w:rsidRPr="00D51FCD">
        <w:rPr>
          <w:rFonts w:ascii="Times New Roman" w:hAnsi="Times New Roman" w:cs="Times New Roman"/>
          <w:sz w:val="24"/>
          <w:szCs w:val="24"/>
        </w:rPr>
        <w:fldChar w:fldCharType="begin"/>
      </w:r>
      <w:r w:rsidRPr="00D51FCD">
        <w:rPr>
          <w:rFonts w:ascii="Times New Roman" w:hAnsi="Times New Roman" w:cs="Times New Roman"/>
          <w:sz w:val="24"/>
          <w:szCs w:val="24"/>
        </w:rPr>
        <w:instrText xml:space="preserve"> REF _Ref479629290 \h  \* MERGEFORMAT </w:instrText>
      </w:r>
      <w:r w:rsidRPr="00D51FCD">
        <w:rPr>
          <w:rFonts w:ascii="Times New Roman" w:hAnsi="Times New Roman" w:cs="Times New Roman"/>
          <w:sz w:val="24"/>
          <w:szCs w:val="24"/>
        </w:rPr>
      </w:r>
      <w:r w:rsidRPr="00D51FCD">
        <w:rPr>
          <w:rFonts w:ascii="Times New Roman" w:hAnsi="Times New Roman" w:cs="Times New Roman"/>
          <w:sz w:val="24"/>
          <w:szCs w:val="24"/>
        </w:rPr>
        <w:fldChar w:fldCharType="separate"/>
      </w:r>
      <w:r w:rsidR="000E0B96" w:rsidRPr="00D51FCD">
        <w:rPr>
          <w:rFonts w:ascii="Times New Roman" w:hAnsi="Times New Roman" w:cs="Times New Roman"/>
          <w:sz w:val="24"/>
          <w:szCs w:val="24"/>
        </w:rPr>
        <w:t xml:space="preserve">Figure </w:t>
      </w:r>
      <w:r w:rsidRPr="00D51FCD">
        <w:rPr>
          <w:rFonts w:ascii="Times New Roman" w:hAnsi="Times New Roman" w:cs="Times New Roman"/>
          <w:sz w:val="24"/>
          <w:szCs w:val="24"/>
        </w:rPr>
        <w:fldChar w:fldCharType="end"/>
      </w:r>
      <w:r w:rsidR="000E0B96" w:rsidRPr="00D51FCD">
        <w:rPr>
          <w:rFonts w:ascii="Times New Roman" w:hAnsi="Times New Roman" w:cs="Times New Roman"/>
          <w:sz w:val="24"/>
          <w:szCs w:val="24"/>
        </w:rPr>
        <w:t>7</w:t>
      </w:r>
      <w:r w:rsidRPr="00D51FCD">
        <w:rPr>
          <w:rFonts w:ascii="Times New Roman" w:hAnsi="Times New Roman" w:cs="Times New Roman"/>
          <w:sz w:val="24"/>
          <w:szCs w:val="24"/>
        </w:rPr>
        <w:t xml:space="preserve">, the highest percentage of enhancement was obtain for concentration of F-MWCNT of 0.10 wt% at temperature of 100°C. The highest enhancement for concentration of 0.10 wt% F-MWCNT was obtained at 255.3% for NF 12 sample and the lowest enhancement at 44.8% for NF 6 sample at 100°C. For some of the samples with concentration of 0.01 wt% and 0.05 wt% there were negative enhancement for temperature of 25°C and 40°C but eventually at 100°C the enhancement becomes positive. At lower concentration of F-MWCNT, the dynamic viscosity of the nanolubricant samples were lower </w:t>
      </w:r>
      <w:r w:rsidRPr="00D51FCD">
        <w:rPr>
          <w:rFonts w:ascii="Times New Roman" w:hAnsi="Times New Roman" w:cs="Times New Roman"/>
          <w:sz w:val="24"/>
          <w:szCs w:val="24"/>
        </w:rPr>
        <w:lastRenderedPageBreak/>
        <w:t>than the bas</w:t>
      </w:r>
      <w:r w:rsidR="003C48EF" w:rsidRPr="00D51FCD">
        <w:rPr>
          <w:rFonts w:ascii="Times New Roman" w:hAnsi="Times New Roman" w:cs="Times New Roman"/>
          <w:sz w:val="24"/>
          <w:szCs w:val="24"/>
        </w:rPr>
        <w:t>e fluids due to self-lubricating</w:t>
      </w:r>
      <w:r w:rsidRPr="00D51FCD">
        <w:rPr>
          <w:rFonts w:ascii="Times New Roman" w:hAnsi="Times New Roman" w:cs="Times New Roman"/>
          <w:sz w:val="24"/>
          <w:szCs w:val="24"/>
        </w:rPr>
        <w:t xml:space="preserve"> effect of the nanoparticles that results in negative enhancement</w:t>
      </w:r>
      <w:r w:rsidR="00414DA5" w:rsidRPr="00D51FCD">
        <w:rPr>
          <w:rFonts w:ascii="Times New Roman" w:hAnsi="Times New Roman" w:cs="Times New Roman"/>
          <w:sz w:val="24"/>
          <w:szCs w:val="24"/>
        </w:rPr>
        <w:t xml:space="preserve"> </w:t>
      </w:r>
      <w:r w:rsidR="00C11E3B" w:rsidRPr="00D51FCD">
        <w:rPr>
          <w:rFonts w:ascii="Times New Roman" w:hAnsi="Times New Roman" w:cs="Times New Roman"/>
          <w:sz w:val="24"/>
          <w:szCs w:val="24"/>
        </w:rPr>
        <w:fldChar w:fldCharType="begin" w:fldLock="1"/>
      </w:r>
      <w:r w:rsidR="00AE34D6" w:rsidRPr="00D51FCD">
        <w:rPr>
          <w:rFonts w:ascii="Times New Roman" w:hAnsi="Times New Roman" w:cs="Times New Roman"/>
          <w:sz w:val="24"/>
          <w:szCs w:val="24"/>
        </w:rPr>
        <w:instrText>ADDIN CSL_CITATION { "citationItems" : [ { "id" : "ITEM-1", "itemData" : { "DOI" : "10.1080/01932691003757223", "ISSN" : "0193-2691", "abstract" : "Stable nanofluids containing multi-walled carbon nanotubes (MWNTs)\\ntreated by concentrated acid and mechanical mill technology have\\nbeen prepared. Water, ethylene glycol, glycerol, and silicone oil\\nwere used as base fluids. The rheological behaviors of the obtained\\nnanofluids with different MWNT volume fractions and at different\\ntemperatures were investigated in details. The glycerol based and\\nsilicone oil based fluids behave Newtonian manner in all studied\\nMWNT volume fractions and temperatures. The dispersant hexamethyldisiloxane\\nadded in silicone oil decreases the silicone oil viscosity but has\\nno effect on the rheological properties of nanofluids. For the water\\nbased nanofluids, MWNTs act as lubricative function when the MWNT\\nvolume fraction is lower. Furthermore, for the ethylene glycol based\\nand glycerol based fluid, almost no viscosity augmentation appears\\nwhen the temperature is higher than 55\ufffdC. \ufffd Taylor &amp; Francis Group,\\nLLC.", "author" : [ { "dropping-particle" : "", "family" : "Chen", "given" : "Lifei", "non-dropping-particle" : "", "parse-names" : false, "suffix" : "" }, { "dropping-particle" : "", "family" : "Xie", "given" : "Huaqing", "non-dropping-particle" : "", "parse-names" : false, "suffix" : "" }, { "dropping-particle" : "", "family" : "Yu", "given" : "Wei", "non-dropping-particle" : "", "parse-names" : false, "suffix" : "" }, { "dropping-particle" : "", "family" : "Li", "given" : "Yang", "non-dropping-particle" : "", "parse-names" : false, "suffix" : "" } ], "container-title" : "Journal of Dispersion Science and Technology", "id" : "ITEM-1", "issue" : "4", "issued" : { "date-parts" : [ [ "2011" ] ] }, "page" : "550-554", "title" : "Rheological Behaviors of Nanofluids Containing Multi-Walled Carbon Nanotube", "type" : "article-journal", "volume" : "32" }, "uris" : [ "http://www.mendeley.com/documents/?uuid=5b4917d1-411c-4413-a172-825d1ce8edd6" ] } ], "mendeley" : { "formattedCitation" : "[28]", "plainTextFormattedCitation" : "[28]", "previouslyFormattedCitation" : "[28]" }, "properties" : { "noteIndex" : 0 }, "schema" : "https://github.com/citation-style-language/schema/raw/master/csl-citation.json" }</w:instrText>
      </w:r>
      <w:r w:rsidR="00C11E3B" w:rsidRPr="00D51FCD">
        <w:rPr>
          <w:rFonts w:ascii="Times New Roman" w:hAnsi="Times New Roman" w:cs="Times New Roman"/>
          <w:sz w:val="24"/>
          <w:szCs w:val="24"/>
        </w:rPr>
        <w:fldChar w:fldCharType="separate"/>
      </w:r>
      <w:r w:rsidR="008859B9" w:rsidRPr="00D51FCD">
        <w:rPr>
          <w:rFonts w:ascii="Times New Roman" w:hAnsi="Times New Roman" w:cs="Times New Roman"/>
          <w:noProof/>
          <w:sz w:val="24"/>
          <w:szCs w:val="24"/>
        </w:rPr>
        <w:t>[</w:t>
      </w:r>
      <w:r w:rsidR="00AA0629" w:rsidRPr="00D51FCD">
        <w:rPr>
          <w:rFonts w:ascii="Times New Roman" w:hAnsi="Times New Roman" w:cs="Times New Roman"/>
          <w:noProof/>
          <w:sz w:val="24"/>
          <w:szCs w:val="24"/>
        </w:rPr>
        <w:t>26</w:t>
      </w:r>
      <w:r w:rsidR="00C11E3B" w:rsidRPr="00D51FCD">
        <w:rPr>
          <w:rFonts w:ascii="Times New Roman" w:hAnsi="Times New Roman" w:cs="Times New Roman"/>
          <w:noProof/>
          <w:sz w:val="24"/>
          <w:szCs w:val="24"/>
        </w:rPr>
        <w:t>]</w:t>
      </w:r>
      <w:r w:rsidR="00C11E3B" w:rsidRPr="00D51FCD">
        <w:rPr>
          <w:rFonts w:ascii="Times New Roman" w:hAnsi="Times New Roman" w:cs="Times New Roman"/>
          <w:sz w:val="24"/>
          <w:szCs w:val="24"/>
        </w:rPr>
        <w:fldChar w:fldCharType="end"/>
      </w:r>
      <w:r w:rsidRPr="00D51FCD">
        <w:rPr>
          <w:rFonts w:ascii="Times New Roman" w:hAnsi="Times New Roman" w:cs="Times New Roman"/>
          <w:sz w:val="24"/>
          <w:szCs w:val="24"/>
        </w:rPr>
        <w:t>. The highest percentage enhancement for concentration of 0.01 wt% was for sample NF</w:t>
      </w:r>
      <w:r w:rsidR="00C11E3B" w:rsidRPr="00D51FCD">
        <w:rPr>
          <w:rFonts w:ascii="Times New Roman" w:hAnsi="Times New Roman" w:cs="Times New Roman"/>
          <w:sz w:val="24"/>
          <w:szCs w:val="24"/>
        </w:rPr>
        <w:t xml:space="preserve"> 19 with 11.3% at 100°C.</w:t>
      </w:r>
    </w:p>
    <w:p w:rsidR="001C115B" w:rsidRPr="00D51FCD" w:rsidRDefault="00A57CF0" w:rsidP="001C115B">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tab/>
        <w:t xml:space="preserve">It can be concluded that higher the concentration of F-MWCNT, higher enhancement of dynamic viscosity occurs. Similar enhancement was reported by </w:t>
      </w:r>
      <w:r w:rsidRPr="00D51FCD">
        <w:rPr>
          <w:rFonts w:ascii="Times New Roman" w:hAnsi="Times New Roman" w:cs="Times New Roman"/>
          <w:sz w:val="24"/>
          <w:szCs w:val="24"/>
        </w:rPr>
        <w:fldChar w:fldCharType="begin" w:fldLock="1"/>
      </w:r>
      <w:r w:rsidRPr="00D51FCD">
        <w:rPr>
          <w:rFonts w:ascii="Times New Roman" w:hAnsi="Times New Roman" w:cs="Times New Roman"/>
          <w:sz w:val="24"/>
          <w:szCs w:val="24"/>
        </w:rPr>
        <w:instrText>ADDIN CSL_CITATION { "citationItems" : [ { "id" : "ITEM-1", "itemData" : { "author" : [ { "dropping-particle" : "", "family" : "Halelfadl", "given" : "Salma", "non-dropping-particle" : "", "parse-names" : false, "suffix" : "" }, { "dropping-particle" : "", "family" : "Estell", "given" : "Patrice", "non-dropping-particle" : "", "parse-names" : false, "suffix" : "" }, { "dropping-particle" : "", "family" : "Aladag", "given" : "Bahadir", "non-dropping-particle" : "", "parse-names" : false, "suffix" : "" }, { "dropping-particle" : "", "family" : "Doner", "given" : "Nimeti", "non-dropping-particle" : "", "parse-names" : false, "suffix" : "" }, { "dropping-particle" : "", "family" : "Mar", "given" : "Thierry", "non-dropping-particle" : "", "parse-names" : false, "suffix" : "" }, { "dropping-particle" : "", "family" : "Halelfadl", "given" : "Salma", "non-dropping-particle" : "", "parse-names" : false, "suffix" : "" }, { "dropping-particle" : "", "family" : "Estell", "given" : "Patrice", "non-dropping-particle" : "", "parse-names" : false, "suffix" : "" }, { "dropping-particle" : "", "family" : "Aladag", "given" : "Bahadir", "non-dropping-particle" : "", "parse-names" : false, "suffix" : "" }, { "dropping-particle" : "", "family" : "Doner", "given" : "Nimeti", "non-dropping-particle" : "", "parse-names" : false, "suffix" : "" }, { "dropping-particle" : "", "family" : "Mar", "given" : "Thierry", "non-dropping-particle" : "", "parse-names" : false, "suffix" : "" } ], "id" : "ITEM-1", "issued" : { "date-parts" : [ [ "2013" ] ] }, "title" : "Viscosity of carbon nanotubes water based nanofluids : Influence of concentration and temperature To cite this version :", "type" : "article-journal" }, "uris" : [ "http://www.mendeley.com/documents/?uuid=9c1548c8-770c-4456-a995-10acbb856e37" ] } ], "mendeley" : { "formattedCitation" : "[29]", "manualFormatting" : "Halelfadl et al. (2013)", "plainTextFormattedCitation" : "[29]", "previouslyFormattedCitation" : "[29]"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Pr="00D51FCD">
        <w:rPr>
          <w:rFonts w:ascii="Times New Roman" w:hAnsi="Times New Roman" w:cs="Times New Roman"/>
          <w:noProof/>
          <w:sz w:val="24"/>
          <w:szCs w:val="24"/>
        </w:rPr>
        <w:t>Halelfadl et al. [</w:t>
      </w:r>
      <w:r w:rsidR="00AA0629" w:rsidRPr="00D51FCD">
        <w:rPr>
          <w:rFonts w:ascii="Times New Roman" w:hAnsi="Times New Roman" w:cs="Times New Roman"/>
          <w:noProof/>
          <w:sz w:val="24"/>
          <w:szCs w:val="24"/>
        </w:rPr>
        <w:t>27</w:t>
      </w:r>
      <w:r w:rsidRPr="00D51FCD">
        <w:rPr>
          <w:rFonts w:ascii="Times New Roman" w:hAnsi="Times New Roman" w:cs="Times New Roman"/>
          <w:noProof/>
          <w:sz w:val="24"/>
          <w:szCs w:val="24"/>
        </w:rPr>
        <w:t>]</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 on CNT/water nanofluids and observed six fold increase in viscosity compared to the base fluid. Another study reports significant increase in relative viscosity when the volume fraction of CNT was increased above 0.055% </w:t>
      </w:r>
      <w:r w:rsidRPr="00D51FCD">
        <w:rPr>
          <w:rFonts w:ascii="Times New Roman" w:hAnsi="Times New Roman" w:cs="Times New Roman"/>
          <w:sz w:val="24"/>
          <w:szCs w:val="24"/>
        </w:rPr>
        <w:fldChar w:fldCharType="begin" w:fldLock="1"/>
      </w:r>
      <w:r w:rsidRPr="00D51FCD">
        <w:rPr>
          <w:rFonts w:ascii="Times New Roman" w:hAnsi="Times New Roman" w:cs="Times New Roman"/>
          <w:sz w:val="24"/>
          <w:szCs w:val="24"/>
        </w:rPr>
        <w:instrText>ADDIN CSL_CITATION { "citationItems" : [ { "id" : "ITEM-1", "itemData" : { "DOI" : "10.1016/j.expthermflusci.2013.11.010", "ISBN" : "0894-1777", "ISSN" : "08941777", "abstract" : "The thermo-physical properties of water-based nanofluids containing carbon nanotubes, stabilized by SDBS as surfactant, are experimentally studied. The effect of low nanoparticle volume fraction, ranging from 0.0055% to 0.278%, on density, thermal conductivity and viscosity of nanofluids is investigated for temperature range of 20-40. ??C. Enhancement in density, thermal conductivity and viscosity of nanofluids with volume fraction in nanotubes is shown in comparison to base fluids and modelled from simple theoretical relationships. The influence of temperature on the thermo-physical properties of tested nanofluids is also discussed, as well as the shear rate dependence on the nanofluids viscosity. Finally, the efficiency of the tested nanofluids as cooling fluids is evaluated under laminar and turbulent flows regimes from the thermo-physical values previously determined. This may be helpful for using these nanofluids in real cooling systems. ?? 2013 Elsevier Inc.", "author" : [ { "dropping-particle" : "", "family" : "Halelfadl", "given" : "Salma", "non-dropping-particle" : "", "parse-names" : false, "suffix" : "" }, { "dropping-particle" : "", "family" : "Mar\u00e9", "given" : "Thierry", "non-dropping-particle" : "", "parse-names" : false, "suffix" : "" }, { "dropping-particle" : "", "family" : "Estell\u00e9", "given" : "Patrice", "non-dropping-particle" : "", "parse-names" : false, "suffix" : "" } ], "container-title" : "Experimental Thermal and Fluid Science", "id" : "ITEM-1", "issued" : { "date-parts" : [ [ "2014" ] ] }, "page" : "104-110", "title" : "Efficiency of carbon nanotubes water based nanofluids as coolants", "type" : "article-journal", "volume" : "53" }, "uris" : [ "http://www.mendeley.com/documents/?uuid=5e96fbb4-ff16-4731-8abd-0778e755e529" ] } ], "mendeley" : { "formattedCitation" : "[30]", "plainTextFormattedCitation" : "[30]", "previouslyFormattedCitation" : "[30]"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0099326C" w:rsidRPr="00D51FCD">
        <w:rPr>
          <w:rFonts w:ascii="Times New Roman" w:hAnsi="Times New Roman" w:cs="Times New Roman"/>
          <w:noProof/>
          <w:sz w:val="24"/>
          <w:szCs w:val="24"/>
        </w:rPr>
        <w:t>[</w:t>
      </w:r>
      <w:r w:rsidR="00AA0629" w:rsidRPr="00D51FCD">
        <w:rPr>
          <w:rFonts w:ascii="Times New Roman" w:hAnsi="Times New Roman" w:cs="Times New Roman"/>
          <w:noProof/>
          <w:sz w:val="24"/>
          <w:szCs w:val="24"/>
        </w:rPr>
        <w:t>28</w:t>
      </w:r>
      <w:r w:rsidRPr="00D51FCD">
        <w:rPr>
          <w:rFonts w:ascii="Times New Roman" w:hAnsi="Times New Roman" w:cs="Times New Roman"/>
          <w:noProof/>
          <w:sz w:val="24"/>
          <w:szCs w:val="24"/>
        </w:rPr>
        <w:t>]</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 The viscosity of the nanofluid increases non-linearly as the concentration of F-MWCNT increases due to increment of internal viscous shear stress. The structure of nanoparticle increases the surface interaction when dispersed in a base fluid which leads to enhancement of dynamic viscosity. When the temperature was increased, the dynamic viscosity of nanofluid also decreases similar to that of the base fluid (DES) due to the weakening of intermolecular forces of F–MWCNT at elevated temperatures </w:t>
      </w:r>
      <w:r w:rsidRPr="00D51FCD">
        <w:rPr>
          <w:rFonts w:ascii="Times New Roman" w:hAnsi="Times New Roman" w:cs="Times New Roman"/>
          <w:sz w:val="24"/>
          <w:szCs w:val="24"/>
        </w:rPr>
        <w:fldChar w:fldCharType="begin" w:fldLock="1"/>
      </w:r>
      <w:r w:rsidRPr="00D51FCD">
        <w:rPr>
          <w:rFonts w:ascii="Times New Roman" w:hAnsi="Times New Roman" w:cs="Times New Roman"/>
          <w:sz w:val="24"/>
          <w:szCs w:val="24"/>
        </w:rPr>
        <w:instrText>ADDIN CSL_CITATION { "citationItems" : [ { "id" : "ITEM-1", "itemData" : { "DOI" : "10.1016/j.tca.2012.07.017", "ISSN" : "00406031", "abstract" : "The present study is aimed to measure and analyze the thermo-physical properties of water-ethylene glycol mixture based CNT nanofluids experimentally at various temperatures. The measured density data show observable deviation from the predictions of the Pak and Cho correlation, due to spontaneous filling of water inside the carbon nanotubes in a confined way. The presence of multi wall carbon nanotubes (MWCNT) enhances the specific heat of the nanofluids considerably, and this enhancement decreases with increase of the MWCNT concentration. The maximum thermal conductivity enhancement reaches up to 19.75% for the nanofluid containing 0.45 vol.% MWCNT at 40??C. At a lower temperature range, the increase in the viscosity is low compared to the higher temperature for all the nanofluids. Further, the existing theoretical models could not predict the thermo-physical property values accurately, and the deviation has a great influence on the determination of the flow and heat transfer characteristics. ?? 2012 Elsevier B.V. All rights reserved.", "author" : [ { "dropping-particle" : "", "family" : "Kumaresan", "given" : "V.", "non-dropping-particle" : "", "parse-names" : false, "suffix" : "" }, { "dropping-particle" : "", "family" : "Velraj", "given" : "R.", "non-dropping-particle" : "", "parse-names" : false, "suffix" : "" } ], "container-title" : "Thermochimica Acta", "id" : "ITEM-1", "issued" : { "date-parts" : [ [ "2012" ] ] }, "page" : "180-186", "publisher" : "Elsevier B.V.", "title" : "Experimental investigation of the thermo-physical properties of water-ethylene glycol mixture based CNT nanofluids", "type" : "article-journal", "volume" : "545" }, "uris" : [ "http://www.mendeley.com/documents/?uuid=d7e5408d-821c-4786-9f9c-cadf5f8704fc" ] } ], "mendeley" : { "formattedCitation" : "[26]", "plainTextFormattedCitation" : "[26]", "previouslyFormattedCitation" : "[26]"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Pr="00D51FCD">
        <w:rPr>
          <w:rFonts w:ascii="Times New Roman" w:hAnsi="Times New Roman" w:cs="Times New Roman"/>
          <w:noProof/>
          <w:sz w:val="24"/>
          <w:szCs w:val="24"/>
        </w:rPr>
        <w:t>[</w:t>
      </w:r>
      <w:r w:rsidR="00AA0629" w:rsidRPr="00D51FCD">
        <w:rPr>
          <w:rFonts w:ascii="Times New Roman" w:hAnsi="Times New Roman" w:cs="Times New Roman"/>
          <w:noProof/>
          <w:sz w:val="24"/>
          <w:szCs w:val="24"/>
        </w:rPr>
        <w:t>26</w:t>
      </w:r>
      <w:r w:rsidRPr="00D51FCD">
        <w:rPr>
          <w:rFonts w:ascii="Times New Roman" w:hAnsi="Times New Roman" w:cs="Times New Roman"/>
          <w:noProof/>
          <w:sz w:val="24"/>
          <w:szCs w:val="24"/>
        </w:rPr>
        <w:t>]</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 </w:t>
      </w:r>
    </w:p>
    <w:tbl>
      <w:tblPr>
        <w:tblStyle w:val="TableGrid2"/>
        <w:tblW w:w="9070" w:type="dxa"/>
        <w:tblLayout w:type="fixed"/>
        <w:tblLook w:val="04A0" w:firstRow="1" w:lastRow="0" w:firstColumn="1" w:lastColumn="0" w:noHBand="0" w:noVBand="1"/>
      </w:tblPr>
      <w:tblGrid>
        <w:gridCol w:w="4535"/>
        <w:gridCol w:w="4535"/>
      </w:tblGrid>
      <w:tr w:rsidR="001C115B" w:rsidRPr="00D51FCD" w:rsidTr="00F35933">
        <w:trPr>
          <w:trHeight w:val="2835"/>
        </w:trPr>
        <w:tc>
          <w:tcPr>
            <w:tcW w:w="4535" w:type="dxa"/>
          </w:tcPr>
          <w:p w:rsidR="001C115B" w:rsidRPr="00D51FCD" w:rsidRDefault="001C115B" w:rsidP="001C115B">
            <w:pPr>
              <w:rPr>
                <w:rFonts w:ascii="Times New Roman" w:hAnsi="Times New Roman" w:cs="Times New Roman"/>
                <w:b/>
                <w:sz w:val="24"/>
                <w:szCs w:val="24"/>
              </w:rPr>
            </w:pPr>
            <w:r w:rsidRPr="00D51FCD">
              <w:rPr>
                <w:rFonts w:ascii="Times New Roman" w:hAnsi="Times New Roman" w:cs="Times New Roman"/>
                <w:noProof/>
                <w:sz w:val="24"/>
                <w:szCs w:val="24"/>
                <w:lang w:val="en-US"/>
              </w:rPr>
              <w:drawing>
                <wp:inline distT="0" distB="0" distL="0" distR="0" wp14:anchorId="4AD9F77B" wp14:editId="26F81189">
                  <wp:extent cx="2880000" cy="1800000"/>
                  <wp:effectExtent l="0" t="0" r="0" b="0"/>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sz w:val="24"/>
                <w:szCs w:val="24"/>
              </w:rPr>
              <w:t>a) DES 1 based nanolubricant</w:t>
            </w:r>
          </w:p>
        </w:tc>
        <w:tc>
          <w:tcPr>
            <w:tcW w:w="4535" w:type="dxa"/>
          </w:tcPr>
          <w:p w:rsidR="001C115B" w:rsidRPr="00D51FCD" w:rsidRDefault="001C115B" w:rsidP="001C115B">
            <w:pPr>
              <w:jc w:val="center"/>
              <w:rPr>
                <w:rFonts w:ascii="Times New Roman" w:hAnsi="Times New Roman" w:cs="Times New Roman"/>
                <w:b/>
                <w:sz w:val="24"/>
                <w:szCs w:val="24"/>
              </w:rPr>
            </w:pPr>
            <w:r w:rsidRPr="00D51FCD">
              <w:rPr>
                <w:rFonts w:ascii="Times New Roman" w:hAnsi="Times New Roman" w:cs="Times New Roman"/>
                <w:noProof/>
                <w:sz w:val="24"/>
                <w:szCs w:val="24"/>
                <w:lang w:val="en-US"/>
              </w:rPr>
              <w:drawing>
                <wp:inline distT="0" distB="0" distL="0" distR="0" wp14:anchorId="15C5852C" wp14:editId="559298A3">
                  <wp:extent cx="2880000" cy="1800000"/>
                  <wp:effectExtent l="0" t="0" r="0" b="0"/>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sz w:val="24"/>
                <w:szCs w:val="24"/>
              </w:rPr>
              <w:t>b) DES 2 based nanolubricant</w:t>
            </w:r>
          </w:p>
        </w:tc>
      </w:tr>
      <w:tr w:rsidR="001C115B" w:rsidRPr="00D51FCD" w:rsidTr="000E0B96">
        <w:trPr>
          <w:trHeight w:val="2835"/>
        </w:trPr>
        <w:tc>
          <w:tcPr>
            <w:tcW w:w="4535" w:type="dxa"/>
          </w:tcPr>
          <w:p w:rsidR="001C115B" w:rsidRPr="00D51FCD" w:rsidRDefault="001C115B" w:rsidP="001C115B">
            <w:pPr>
              <w:jc w:val="center"/>
              <w:rPr>
                <w:rFonts w:ascii="Times New Roman" w:hAnsi="Times New Roman" w:cs="Times New Roman"/>
                <w:b/>
                <w:sz w:val="24"/>
                <w:szCs w:val="24"/>
              </w:rPr>
            </w:pPr>
            <w:r w:rsidRPr="00D51FCD">
              <w:rPr>
                <w:rFonts w:ascii="Times New Roman" w:hAnsi="Times New Roman" w:cs="Times New Roman"/>
                <w:noProof/>
                <w:sz w:val="24"/>
                <w:szCs w:val="24"/>
                <w:lang w:val="en-US"/>
              </w:rPr>
              <w:drawing>
                <wp:inline distT="0" distB="0" distL="0" distR="0" wp14:anchorId="73F69322" wp14:editId="55776B19">
                  <wp:extent cx="2880000" cy="1800000"/>
                  <wp:effectExtent l="0" t="0" r="0" b="0"/>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sz w:val="24"/>
                <w:szCs w:val="24"/>
              </w:rPr>
              <w:t>c) DES 3 based nanolubricant</w:t>
            </w:r>
          </w:p>
        </w:tc>
        <w:tc>
          <w:tcPr>
            <w:tcW w:w="4535" w:type="dxa"/>
          </w:tcPr>
          <w:p w:rsidR="001C115B" w:rsidRPr="00D51FCD" w:rsidRDefault="001C115B" w:rsidP="001C115B">
            <w:pPr>
              <w:jc w:val="center"/>
              <w:rPr>
                <w:rFonts w:ascii="Times New Roman" w:hAnsi="Times New Roman" w:cs="Times New Roman"/>
                <w:b/>
                <w:sz w:val="24"/>
                <w:szCs w:val="24"/>
              </w:rPr>
            </w:pPr>
            <w:r w:rsidRPr="00D51FCD">
              <w:rPr>
                <w:rFonts w:ascii="Times New Roman" w:hAnsi="Times New Roman" w:cs="Times New Roman"/>
                <w:noProof/>
                <w:sz w:val="24"/>
                <w:szCs w:val="24"/>
                <w:lang w:val="en-US"/>
              </w:rPr>
              <w:drawing>
                <wp:inline distT="0" distB="0" distL="0" distR="0" wp14:anchorId="61547FB6" wp14:editId="01B45CF6">
                  <wp:extent cx="2880000" cy="1800000"/>
                  <wp:effectExtent l="0" t="0" r="0" b="0"/>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sz w:val="24"/>
                <w:szCs w:val="24"/>
              </w:rPr>
              <w:t>d) DES 4 based nanolubricant</w:t>
            </w:r>
          </w:p>
        </w:tc>
      </w:tr>
    </w:tbl>
    <w:p w:rsidR="003041A5" w:rsidRPr="00D51FCD" w:rsidRDefault="001C115B" w:rsidP="003041A5">
      <w:pPr>
        <w:pStyle w:val="Caption"/>
        <w:jc w:val="center"/>
        <w:rPr>
          <w:rFonts w:cs="Times New Roman"/>
          <w:b/>
          <w:i w:val="0"/>
          <w:iCs w:val="0"/>
          <w:color w:val="auto"/>
          <w:sz w:val="24"/>
          <w:szCs w:val="24"/>
        </w:rPr>
      </w:pPr>
      <w:bookmarkStart w:id="17" w:name="_Ref479629287"/>
      <w:bookmarkStart w:id="18" w:name="_Ref479629282"/>
      <w:bookmarkStart w:id="19" w:name="_Toc479690814"/>
      <w:bookmarkStart w:id="20" w:name="_Toc479766374"/>
      <w:r w:rsidRPr="00D51FCD">
        <w:rPr>
          <w:rFonts w:cs="Times New Roman"/>
          <w:b/>
          <w:i w:val="0"/>
          <w:iCs w:val="0"/>
          <w:color w:val="auto"/>
          <w:sz w:val="24"/>
          <w:szCs w:val="24"/>
        </w:rPr>
        <w:t xml:space="preserve">Figure </w:t>
      </w:r>
      <w:r w:rsidR="00F35933" w:rsidRPr="00D51FCD">
        <w:rPr>
          <w:rFonts w:cs="Times New Roman"/>
          <w:b/>
          <w:i w:val="0"/>
          <w:iCs w:val="0"/>
          <w:color w:val="auto"/>
          <w:sz w:val="24"/>
          <w:szCs w:val="24"/>
        </w:rPr>
        <w:t>6</w:t>
      </w:r>
      <w:bookmarkEnd w:id="17"/>
      <w:r w:rsidRPr="00D51FCD">
        <w:rPr>
          <w:rFonts w:cs="Times New Roman"/>
          <w:b/>
          <w:i w:val="0"/>
          <w:iCs w:val="0"/>
          <w:color w:val="auto"/>
          <w:sz w:val="24"/>
          <w:szCs w:val="24"/>
        </w:rPr>
        <w:t xml:space="preserve"> </w:t>
      </w:r>
      <w:r w:rsidR="000E0B96" w:rsidRPr="00D51FCD">
        <w:rPr>
          <w:rFonts w:cs="Times New Roman"/>
          <w:b/>
          <w:i w:val="0"/>
          <w:iCs w:val="0"/>
          <w:color w:val="auto"/>
          <w:sz w:val="24"/>
          <w:szCs w:val="24"/>
        </w:rPr>
        <w:t>Percentage enhancement</w:t>
      </w:r>
      <w:r w:rsidRPr="00D51FCD">
        <w:rPr>
          <w:rFonts w:cs="Times New Roman"/>
          <w:b/>
          <w:i w:val="0"/>
          <w:iCs w:val="0"/>
          <w:color w:val="auto"/>
          <w:sz w:val="24"/>
          <w:szCs w:val="24"/>
        </w:rPr>
        <w:t xml:space="preserve"> in Dynamic Viscosity of a) DES 1 b) DES 2 c) DES 3 d) DES 4 based nanolubricants with respect to concentration of F-MWCNT</w:t>
      </w:r>
      <w:bookmarkEnd w:id="18"/>
      <w:bookmarkEnd w:id="19"/>
      <w:bookmarkEnd w:id="20"/>
      <w:r w:rsidR="003041A5" w:rsidRPr="00D51FCD">
        <w:rPr>
          <w:rFonts w:cs="Times New Roman"/>
          <w:b/>
          <w:i w:val="0"/>
          <w:iCs w:val="0"/>
          <w:color w:val="auto"/>
          <w:sz w:val="24"/>
          <w:szCs w:val="24"/>
        </w:rPr>
        <w:t xml:space="preserve"> at temperature of 25</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 40</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 and 100</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w:t>
      </w:r>
    </w:p>
    <w:p w:rsidR="001C115B" w:rsidRPr="00D51FCD" w:rsidRDefault="001C115B" w:rsidP="000A10BE">
      <w:pPr>
        <w:pStyle w:val="Caption"/>
        <w:jc w:val="center"/>
        <w:rPr>
          <w:rFonts w:cs="Times New Roman"/>
          <w:b/>
          <w:i w:val="0"/>
          <w:iCs w:val="0"/>
          <w:color w:val="auto"/>
          <w:sz w:val="24"/>
          <w:szCs w:val="24"/>
        </w:rPr>
      </w:pPr>
    </w:p>
    <w:p w:rsidR="00A57CF0" w:rsidRPr="00D51FCD" w:rsidRDefault="00A57CF0" w:rsidP="00A57CF0"/>
    <w:p w:rsidR="00A57CF0" w:rsidRPr="00D51FCD" w:rsidRDefault="00A57CF0" w:rsidP="00A57CF0"/>
    <w:p w:rsidR="00A57CF0" w:rsidRPr="00D51FCD" w:rsidRDefault="00A57CF0" w:rsidP="00A57CF0"/>
    <w:tbl>
      <w:tblPr>
        <w:tblStyle w:val="TableGrid2"/>
        <w:tblW w:w="9981" w:type="dxa"/>
        <w:tblInd w:w="-65" w:type="dxa"/>
        <w:tblLayout w:type="fixed"/>
        <w:tblLook w:val="04A0" w:firstRow="1" w:lastRow="0" w:firstColumn="1" w:lastColumn="0" w:noHBand="0" w:noVBand="1"/>
      </w:tblPr>
      <w:tblGrid>
        <w:gridCol w:w="2258"/>
        <w:gridCol w:w="2333"/>
        <w:gridCol w:w="2415"/>
        <w:gridCol w:w="2535"/>
        <w:gridCol w:w="440"/>
      </w:tblGrid>
      <w:tr w:rsidR="001C115B" w:rsidRPr="00D51FCD" w:rsidTr="000E0B96">
        <w:trPr>
          <w:gridAfter w:val="1"/>
          <w:wAfter w:w="440" w:type="dxa"/>
          <w:trHeight w:val="2843"/>
        </w:trPr>
        <w:tc>
          <w:tcPr>
            <w:tcW w:w="4591" w:type="dxa"/>
            <w:gridSpan w:val="2"/>
          </w:tcPr>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lastRenderedPageBreak/>
              <w:drawing>
                <wp:inline distT="0" distB="0" distL="0" distR="0" wp14:anchorId="7F5EF5CC" wp14:editId="7908884C">
                  <wp:extent cx="2880000" cy="1800000"/>
                  <wp:effectExtent l="0" t="0" r="0" b="0"/>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sz w:val="24"/>
                <w:szCs w:val="24"/>
              </w:rPr>
              <w:t>a) DES 5 based nanolubricant</w:t>
            </w:r>
          </w:p>
        </w:tc>
        <w:tc>
          <w:tcPr>
            <w:tcW w:w="4950" w:type="dxa"/>
            <w:gridSpan w:val="2"/>
          </w:tcPr>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5761BFD2" wp14:editId="5C08D100">
                  <wp:extent cx="2880000" cy="1800000"/>
                  <wp:effectExtent l="0" t="0" r="0" b="0"/>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sz w:val="24"/>
                <w:szCs w:val="24"/>
              </w:rPr>
              <w:t>b) DES 6 based nanolubricant</w:t>
            </w:r>
          </w:p>
        </w:tc>
      </w:tr>
      <w:tr w:rsidR="001C115B" w:rsidRPr="00D51FCD" w:rsidTr="000E0B96">
        <w:trPr>
          <w:trHeight w:val="3094"/>
        </w:trPr>
        <w:tc>
          <w:tcPr>
            <w:tcW w:w="2258" w:type="dxa"/>
            <w:tcBorders>
              <w:top w:val="nil"/>
              <w:left w:val="nil"/>
              <w:bottom w:val="nil"/>
            </w:tcBorders>
          </w:tcPr>
          <w:p w:rsidR="001C115B" w:rsidRPr="00D51FCD" w:rsidRDefault="001C115B" w:rsidP="001C115B">
            <w:pPr>
              <w:rPr>
                <w:rFonts w:ascii="Times New Roman" w:hAnsi="Times New Roman" w:cs="Times New Roman"/>
                <w:b/>
                <w:sz w:val="24"/>
                <w:szCs w:val="24"/>
              </w:rPr>
            </w:pPr>
          </w:p>
        </w:tc>
        <w:tc>
          <w:tcPr>
            <w:tcW w:w="4748" w:type="dxa"/>
            <w:gridSpan w:val="2"/>
          </w:tcPr>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5946D48D" wp14:editId="0D55001D">
                  <wp:extent cx="2880000" cy="1800000"/>
                  <wp:effectExtent l="0" t="0" r="0" b="0"/>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sz w:val="24"/>
                <w:szCs w:val="24"/>
              </w:rPr>
              <w:t>c) DES 7 based nanolubricant</w:t>
            </w:r>
          </w:p>
        </w:tc>
        <w:tc>
          <w:tcPr>
            <w:tcW w:w="2975" w:type="dxa"/>
            <w:gridSpan w:val="2"/>
            <w:tcBorders>
              <w:top w:val="nil"/>
              <w:bottom w:val="nil"/>
              <w:right w:val="nil"/>
            </w:tcBorders>
          </w:tcPr>
          <w:p w:rsidR="001C115B" w:rsidRPr="00D51FCD" w:rsidRDefault="001C115B" w:rsidP="001C115B">
            <w:pPr>
              <w:jc w:val="center"/>
              <w:rPr>
                <w:rFonts w:ascii="Times New Roman" w:hAnsi="Times New Roman" w:cs="Times New Roman"/>
                <w:sz w:val="24"/>
                <w:szCs w:val="24"/>
              </w:rPr>
            </w:pPr>
          </w:p>
        </w:tc>
      </w:tr>
    </w:tbl>
    <w:p w:rsidR="001C115B" w:rsidRPr="00D51FCD" w:rsidRDefault="001C115B" w:rsidP="001C115B">
      <w:pPr>
        <w:pStyle w:val="Caption"/>
        <w:jc w:val="center"/>
        <w:rPr>
          <w:rFonts w:cs="Times New Roman"/>
          <w:b/>
          <w:i w:val="0"/>
          <w:iCs w:val="0"/>
          <w:color w:val="auto"/>
          <w:sz w:val="24"/>
          <w:szCs w:val="24"/>
        </w:rPr>
      </w:pPr>
      <w:bookmarkStart w:id="21" w:name="_Ref479629290"/>
      <w:bookmarkStart w:id="22" w:name="_Toc479690815"/>
      <w:bookmarkStart w:id="23" w:name="_Toc479766375"/>
      <w:r w:rsidRPr="00D51FCD">
        <w:rPr>
          <w:rFonts w:cs="Times New Roman"/>
          <w:b/>
          <w:i w:val="0"/>
          <w:iCs w:val="0"/>
          <w:color w:val="auto"/>
          <w:sz w:val="24"/>
          <w:szCs w:val="24"/>
        </w:rPr>
        <w:t xml:space="preserve">Figure </w:t>
      </w:r>
      <w:bookmarkEnd w:id="21"/>
      <w:r w:rsidR="00F35933" w:rsidRPr="00D51FCD">
        <w:rPr>
          <w:rFonts w:cs="Times New Roman"/>
          <w:b/>
          <w:i w:val="0"/>
          <w:iCs w:val="0"/>
          <w:color w:val="auto"/>
          <w:sz w:val="24"/>
          <w:szCs w:val="24"/>
        </w:rPr>
        <w:t>7</w:t>
      </w:r>
      <w:r w:rsidRPr="00D51FCD">
        <w:rPr>
          <w:rFonts w:cs="Times New Roman"/>
          <w:b/>
          <w:i w:val="0"/>
          <w:iCs w:val="0"/>
          <w:color w:val="auto"/>
          <w:sz w:val="24"/>
          <w:szCs w:val="24"/>
        </w:rPr>
        <w:t xml:space="preserve"> Percentage enhancement in Dynamic Viscosity of a) DES 5 b) DES 6 c) DES 7 based nanolubricants with respect to concentration of F-MWCNT</w:t>
      </w:r>
      <w:bookmarkEnd w:id="22"/>
      <w:bookmarkEnd w:id="23"/>
      <w:r w:rsidR="003041A5" w:rsidRPr="00D51FCD">
        <w:rPr>
          <w:rFonts w:cs="Times New Roman"/>
          <w:b/>
          <w:i w:val="0"/>
          <w:iCs w:val="0"/>
          <w:color w:val="auto"/>
          <w:sz w:val="24"/>
          <w:szCs w:val="24"/>
        </w:rPr>
        <w:t xml:space="preserve"> at temperature of 25</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 40</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 and 100</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w:t>
      </w:r>
    </w:p>
    <w:p w:rsidR="001C115B" w:rsidRPr="00D51FCD" w:rsidRDefault="001C115B" w:rsidP="001C115B">
      <w:pPr>
        <w:spacing w:line="240" w:lineRule="auto"/>
        <w:rPr>
          <w:rFonts w:ascii="Times New Roman" w:hAnsi="Times New Roman" w:cs="Times New Roman"/>
          <w:i/>
          <w:sz w:val="24"/>
          <w:szCs w:val="24"/>
        </w:rPr>
      </w:pPr>
    </w:p>
    <w:p w:rsidR="001C115B" w:rsidRPr="00D51FCD" w:rsidRDefault="001C115B" w:rsidP="001C115B">
      <w:pPr>
        <w:spacing w:line="240" w:lineRule="auto"/>
        <w:rPr>
          <w:rFonts w:ascii="Times New Roman" w:hAnsi="Times New Roman" w:cs="Times New Roman"/>
          <w:i/>
          <w:sz w:val="24"/>
          <w:szCs w:val="24"/>
        </w:rPr>
      </w:pPr>
      <w:r w:rsidRPr="00D51FCD">
        <w:rPr>
          <w:rFonts w:ascii="Times New Roman" w:hAnsi="Times New Roman" w:cs="Times New Roman"/>
          <w:i/>
          <w:sz w:val="24"/>
          <w:szCs w:val="24"/>
        </w:rPr>
        <w:t>3.4 Thermal Conductivity</w:t>
      </w:r>
    </w:p>
    <w:p w:rsidR="001C115B" w:rsidRPr="00D51FCD" w:rsidRDefault="001C115B" w:rsidP="001C115B">
      <w:pPr>
        <w:spacing w:line="240" w:lineRule="auto"/>
        <w:rPr>
          <w:rFonts w:ascii="Times New Roman" w:hAnsi="Times New Roman" w:cs="Times New Roman"/>
          <w:b/>
          <w:sz w:val="24"/>
          <w:szCs w:val="24"/>
        </w:rPr>
      </w:pPr>
      <w:r w:rsidRPr="00D51FCD">
        <w:rPr>
          <w:rFonts w:ascii="Times New Roman" w:hAnsi="Times New Roman" w:cs="Times New Roman"/>
          <w:sz w:val="24"/>
          <w:szCs w:val="24"/>
        </w:rPr>
        <w:t>The percentage enhancement of thermal conductivity w</w:t>
      </w:r>
      <w:r w:rsidR="00AE34D6" w:rsidRPr="00D51FCD">
        <w:rPr>
          <w:rFonts w:ascii="Times New Roman" w:hAnsi="Times New Roman" w:cs="Times New Roman"/>
          <w:sz w:val="24"/>
          <w:szCs w:val="24"/>
        </w:rPr>
        <w:t>as investigated using the Eq. 2</w:t>
      </w:r>
      <w:r w:rsidRPr="00D51FCD">
        <w:rPr>
          <w:rFonts w:ascii="Times New Roman" w:hAnsi="Times New Roman" w:cs="Times New Roman"/>
          <w:sz w:val="24"/>
          <w:szCs w:val="24"/>
        </w:rPr>
        <w:t xml:space="preserve"> </w:t>
      </w:r>
      <w:r w:rsidRPr="00D51FCD">
        <w:rPr>
          <w:rFonts w:ascii="Times New Roman" w:hAnsi="Times New Roman" w:cs="Times New Roman"/>
          <w:sz w:val="24"/>
          <w:szCs w:val="24"/>
        </w:rPr>
        <w:fldChar w:fldCharType="begin" w:fldLock="1"/>
      </w:r>
      <w:r w:rsidR="00D92291" w:rsidRPr="00D51FCD">
        <w:rPr>
          <w:rFonts w:ascii="Times New Roman" w:hAnsi="Times New Roman" w:cs="Times New Roman"/>
          <w:sz w:val="24"/>
          <w:szCs w:val="24"/>
        </w:rPr>
        <w:instrText>ADDIN CSL_CITATION { "citationItems" : [ { "id" : "ITEM-1", "itemData" : { "DOI" : "10.1016/j.tca.2012.07.017", "ISSN" : "00406031", "abstract" : "The present study is aimed to measure and analyze the thermo-physical properties of water-ethylene glycol mixture based CNT nanofluids experimentally at various temperatures. The measured density data show observable deviation from the predictions of the Pak and Cho correlation, due to spontaneous filling of water inside the carbon nanotubes in a confined way. The presence of multi wall carbon nanotubes (MWCNT) enhances the specific heat of the nanofluids considerably, and this enhancement decreases with increase of the MWCNT concentration. The maximum thermal conductivity enhancement reaches up to 19.75% for the nanofluid containing 0.45 vol.% MWCNT at 40??C. At a lower temperature range, the increase in the viscosity is low compared to the higher temperature for all the nanofluids. Further, the existing theoretical models could not predict the thermo-physical property values accurately, and the deviation has a great influence on the determination of the flow and heat transfer characteristics. ?? 2012 Elsevier B.V. All rights reserved.", "author" : [ { "dropping-particle" : "", "family" : "Kumaresan", "given" : "V.", "non-dropping-particle" : "", "parse-names" : false, "suffix" : "" }, { "dropping-particle" : "", "family" : "Velraj", "given" : "R.", "non-dropping-particle" : "", "parse-names" : false, "suffix" : "" } ], "container-title" : "Thermochimica Acta", "id" : "ITEM-1", "issued" : { "date-parts" : [ [ "2012" ] ] }, "page" : "180-186", "publisher" : "Elsevier B.V.", "title" : "Experimental investigation of the thermo-physical properties of water-ethylene glycol mixture based CNT nanofluids", "type" : "article-journal", "volume" : "545" }, "uris" : [ "http://www.mendeley.com/documents/?uuid=d7e5408d-821c-4786-9f9c-cadf5f8704fc" ] } ], "mendeley" : { "formattedCitation" : "[26]", "plainTextFormattedCitation" : "[26]", "previouslyFormattedCitation" : "[26]"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008859B9" w:rsidRPr="00D51FCD">
        <w:rPr>
          <w:rFonts w:ascii="Times New Roman" w:hAnsi="Times New Roman" w:cs="Times New Roman"/>
          <w:noProof/>
          <w:sz w:val="24"/>
          <w:szCs w:val="24"/>
        </w:rPr>
        <w:t>[</w:t>
      </w:r>
      <w:r w:rsidR="00AA0629" w:rsidRPr="00D51FCD">
        <w:rPr>
          <w:rFonts w:ascii="Times New Roman" w:hAnsi="Times New Roman" w:cs="Times New Roman"/>
          <w:noProof/>
          <w:sz w:val="24"/>
          <w:szCs w:val="24"/>
        </w:rPr>
        <w:t>26</w:t>
      </w:r>
      <w:r w:rsidR="0039571D" w:rsidRPr="00D51FCD">
        <w:rPr>
          <w:rFonts w:ascii="Times New Roman" w:hAnsi="Times New Roman" w:cs="Times New Roman"/>
          <w:noProof/>
          <w:sz w:val="24"/>
          <w:szCs w:val="24"/>
        </w:rPr>
        <w:t>]</w:t>
      </w:r>
      <w:r w:rsidRPr="00D51FCD">
        <w:rPr>
          <w:rFonts w:ascii="Times New Roman" w:hAnsi="Times New Roman" w:cs="Times New Roman"/>
          <w:sz w:val="24"/>
          <w:szCs w:val="24"/>
        </w:rPr>
        <w:fldChar w:fldCharType="end"/>
      </w:r>
    </w:p>
    <w:p w:rsidR="001C115B" w:rsidRPr="00D51FCD" w:rsidRDefault="001C115B" w:rsidP="001C115B">
      <w:pPr>
        <w:spacing w:line="240" w:lineRule="auto"/>
        <w:jc w:val="center"/>
        <w:rPr>
          <w:rFonts w:ascii="Times New Roman" w:eastAsiaTheme="minorEastAsia" w:hAnsi="Times New Roman" w:cs="Times New Roman"/>
          <w:sz w:val="24"/>
          <w:szCs w:val="24"/>
        </w:rPr>
      </w:pPr>
      <m:oMath>
        <m:r>
          <m:rPr>
            <m:sty m:val="p"/>
          </m:rPr>
          <w:rPr>
            <w:rFonts w:ascii="Cambria Math" w:hAnsi="Cambria Math" w:cs="Times New Roman"/>
            <w:sz w:val="24"/>
            <w:szCs w:val="24"/>
          </w:rPr>
          <m:t>Thermal conductivity enhancement</m:t>
        </m:r>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nf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bf</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bf</m:t>
                    </m:r>
                  </m:sub>
                </m:sSub>
              </m:den>
            </m:f>
          </m:e>
        </m:d>
      </m:oMath>
      <w:r w:rsidR="00AE34D6" w:rsidRPr="00D51FCD">
        <w:rPr>
          <w:rFonts w:ascii="Times New Roman" w:eastAsiaTheme="minorEastAsia" w:hAnsi="Times New Roman" w:cs="Times New Roman"/>
          <w:sz w:val="24"/>
          <w:szCs w:val="24"/>
        </w:rPr>
        <w:t xml:space="preserve">         (2</w:t>
      </w:r>
      <w:r w:rsidRPr="00D51FCD">
        <w:rPr>
          <w:rFonts w:ascii="Times New Roman" w:eastAsiaTheme="minorEastAsia" w:hAnsi="Times New Roman" w:cs="Times New Roman"/>
          <w:sz w:val="24"/>
          <w:szCs w:val="24"/>
        </w:rPr>
        <w:t>)</w:t>
      </w:r>
    </w:p>
    <w:p w:rsidR="001C115B" w:rsidRPr="00D51FCD" w:rsidRDefault="001C115B" w:rsidP="001C115B">
      <w:pPr>
        <w:spacing w:line="240" w:lineRule="auto"/>
        <w:rPr>
          <w:rFonts w:ascii="Times New Roman" w:eastAsiaTheme="minorEastAsia" w:hAnsi="Times New Roman" w:cs="Times New Roman"/>
          <w:sz w:val="24"/>
          <w:szCs w:val="24"/>
        </w:rPr>
      </w:pPr>
      <w:r w:rsidRPr="00D51FCD">
        <w:rPr>
          <w:rFonts w:ascii="Times New Roman" w:eastAsiaTheme="minorEastAsia" w:hAnsi="Times New Roman" w:cs="Times New Roman"/>
          <w:sz w:val="24"/>
          <w:szCs w:val="24"/>
        </w:rPr>
        <w:t>Where</w:t>
      </w:r>
    </w:p>
    <w:p w:rsidR="001C115B" w:rsidRPr="00D51FCD" w:rsidRDefault="001C115B" w:rsidP="001C115B">
      <w:pPr>
        <w:spacing w:line="240" w:lineRule="auto"/>
        <w:rPr>
          <w:rFonts w:ascii="Times New Roman" w:eastAsiaTheme="minorEastAsia" w:hAnsi="Times New Roman" w:cs="Times New Roman"/>
          <w:sz w:val="24"/>
          <w:szCs w:val="24"/>
        </w:rPr>
      </w:pPr>
      <w:r w:rsidRPr="00D51FCD">
        <w:rPr>
          <w:rFonts w:ascii="Times New Roman" w:eastAsiaTheme="minorEastAsia" w:hAnsi="Times New Roman" w:cs="Times New Roman"/>
          <w:sz w:val="24"/>
          <w:szCs w:val="24"/>
        </w:rPr>
        <w:t>k</w:t>
      </w:r>
      <w:r w:rsidRPr="00D51FCD">
        <w:rPr>
          <w:rFonts w:ascii="Times New Roman" w:eastAsiaTheme="minorEastAsia" w:hAnsi="Times New Roman" w:cs="Times New Roman"/>
          <w:sz w:val="24"/>
          <w:szCs w:val="24"/>
          <w:vertAlign w:val="subscript"/>
        </w:rPr>
        <w:t>nf</w:t>
      </w:r>
      <w:r w:rsidRPr="00D51FCD">
        <w:rPr>
          <w:rFonts w:ascii="Times New Roman" w:eastAsiaTheme="minorEastAsia" w:hAnsi="Times New Roman" w:cs="Times New Roman"/>
          <w:sz w:val="24"/>
          <w:szCs w:val="24"/>
        </w:rPr>
        <w:t xml:space="preserve"> = thermal conductivity of nanolubricant</w:t>
      </w:r>
    </w:p>
    <w:p w:rsidR="001C115B" w:rsidRPr="00D51FCD" w:rsidRDefault="001C115B" w:rsidP="001C115B">
      <w:pPr>
        <w:spacing w:line="240" w:lineRule="auto"/>
        <w:rPr>
          <w:rFonts w:ascii="Times New Roman" w:eastAsiaTheme="minorEastAsia" w:hAnsi="Times New Roman" w:cs="Times New Roman"/>
          <w:sz w:val="24"/>
          <w:szCs w:val="24"/>
        </w:rPr>
      </w:pPr>
      <w:r w:rsidRPr="00D51FCD">
        <w:rPr>
          <w:rFonts w:ascii="Times New Roman" w:eastAsiaTheme="minorEastAsia" w:hAnsi="Times New Roman" w:cs="Times New Roman"/>
          <w:sz w:val="24"/>
          <w:szCs w:val="24"/>
        </w:rPr>
        <w:t>k</w:t>
      </w:r>
      <w:r w:rsidRPr="00D51FCD">
        <w:rPr>
          <w:rFonts w:ascii="Times New Roman" w:eastAsiaTheme="minorEastAsia" w:hAnsi="Times New Roman" w:cs="Times New Roman"/>
          <w:sz w:val="24"/>
          <w:szCs w:val="24"/>
          <w:vertAlign w:val="subscript"/>
        </w:rPr>
        <w:t>bf</w:t>
      </w:r>
      <w:r w:rsidRPr="00D51FCD">
        <w:rPr>
          <w:rFonts w:ascii="Times New Roman" w:eastAsiaTheme="minorEastAsia" w:hAnsi="Times New Roman" w:cs="Times New Roman"/>
          <w:sz w:val="24"/>
          <w:szCs w:val="24"/>
        </w:rPr>
        <w:t xml:space="preserve"> = thermal conductivity of nanolubricant</w:t>
      </w:r>
    </w:p>
    <w:p w:rsidR="001C115B" w:rsidRPr="00D51FCD" w:rsidRDefault="001C115B" w:rsidP="001C115B">
      <w:pPr>
        <w:spacing w:line="240" w:lineRule="auto"/>
        <w:rPr>
          <w:rFonts w:ascii="Times New Roman" w:eastAsiaTheme="minorEastAsia" w:hAnsi="Times New Roman" w:cs="Times New Roman"/>
          <w:sz w:val="24"/>
          <w:szCs w:val="24"/>
        </w:rPr>
      </w:pPr>
    </w:p>
    <w:p w:rsidR="001C115B" w:rsidRPr="00D51FCD" w:rsidRDefault="001C115B" w:rsidP="001C115B">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tab/>
        <w:t xml:space="preserve">From </w:t>
      </w:r>
      <w:r w:rsidRPr="00D51FCD">
        <w:rPr>
          <w:rFonts w:ascii="Times New Roman" w:hAnsi="Times New Roman" w:cs="Times New Roman"/>
          <w:sz w:val="24"/>
          <w:szCs w:val="24"/>
        </w:rPr>
        <w:fldChar w:fldCharType="begin"/>
      </w:r>
      <w:r w:rsidRPr="00D51FCD">
        <w:rPr>
          <w:rFonts w:ascii="Times New Roman" w:hAnsi="Times New Roman" w:cs="Times New Roman"/>
          <w:sz w:val="24"/>
          <w:szCs w:val="24"/>
        </w:rPr>
        <w:instrText xml:space="preserve"> REF _Ref479182322 \h  \* MERGEFORMAT </w:instrText>
      </w:r>
      <w:r w:rsidRPr="00D51FCD">
        <w:rPr>
          <w:rFonts w:ascii="Times New Roman" w:hAnsi="Times New Roman" w:cs="Times New Roman"/>
          <w:sz w:val="24"/>
          <w:szCs w:val="24"/>
        </w:rPr>
      </w:r>
      <w:r w:rsidRPr="00D51FCD">
        <w:rPr>
          <w:rFonts w:ascii="Times New Roman" w:hAnsi="Times New Roman" w:cs="Times New Roman"/>
          <w:sz w:val="24"/>
          <w:szCs w:val="24"/>
        </w:rPr>
        <w:fldChar w:fldCharType="separate"/>
      </w:r>
      <w:r w:rsidR="000E0B96" w:rsidRPr="00D51FCD">
        <w:rPr>
          <w:rFonts w:ascii="Times New Roman" w:hAnsi="Times New Roman" w:cs="Times New Roman"/>
          <w:sz w:val="24"/>
          <w:szCs w:val="24"/>
        </w:rPr>
        <w:t>Figure 8</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 positive enhancement was observed for all the samples with the highest percentage enhancement in thermal conductivity demonstrated by 0.10 wt% of F-MWCNT. The highest enhancement was found for NF 12 sample with 8.37% at 60°C and the lowest enhancement was 0.41% for NF 7 at temperature of 25°C. Similar results were reported by </w:t>
      </w:r>
      <w:r w:rsidRPr="00D51FCD">
        <w:rPr>
          <w:rFonts w:ascii="Times New Roman" w:hAnsi="Times New Roman" w:cs="Times New Roman"/>
          <w:sz w:val="24"/>
          <w:szCs w:val="24"/>
        </w:rPr>
        <w:fldChar w:fldCharType="begin" w:fldLock="1"/>
      </w:r>
      <w:r w:rsidR="00D92291" w:rsidRPr="00D51FCD">
        <w:rPr>
          <w:rFonts w:ascii="Times New Roman" w:hAnsi="Times New Roman" w:cs="Times New Roman"/>
          <w:sz w:val="24"/>
          <w:szCs w:val="24"/>
        </w:rPr>
        <w:instrText>ADDIN CSL_CITATION { "citationItems" : [ { "id" : "ITEM-1", "itemData" : { "DOI" : "10.1016/j.ijheatmasstransfer.2005.07.009", "ISBN" : "0017-9310", "ISSN" : "00179310", "abstract" : "This paper is mainly concerned about the heat transfer behaviour of aqueous suspensions of multi-walled carbon nanotubes (CNT nanofluids) flowing through a horizontal tube. Significant enhancement of the convective heat transfer is observed and the enhancement depends on the flow conditions (Reynolds number, Re), CNT concentration and the pH, with the effect of pH smallest. Given other conditions, the enhancement is a function of axial distance from the inlet, increasing first, reaching a maximum, and then decreasing with increasing axial distance. The axial position of the maximum enhancement increases with CNT concentration and Re. Given CNT concentration and the pH level, there appears to be a Re above which a big increase in the convective heat transfer coefficient occurs. Such a big increase seems to correspond to the shear thinning behaviour. For nanofluids containing 0.5 wt.% CNTs, the maximum enhancement reaches over 350% at Re = 800, which could not be attributed purely to the enhanced thermal conduction. Particle re-arrangement, shear induced thermal conduction enhancement, reduction of thermal boundary due to the presence of nanoparticles, as well as the very high aspect ratio of CNTs are proposed to be possible mechanisms. ?? 2005 Elsevier Ltd. All rights reserved.", "author" : [ { "dropping-particle" : "", "family" : "Ding", "given" : "Yulong", "non-dropping-particle" : "", "parse-names" : false, "suffix" : "" }, { "dropping-particle" : "", "family" : "Alias", "given" : "Hajar", "non-dropping-particle" : "", "parse-names" : false, "suffix" : "" }, { "dropping-particle" : "", "family" : "Wen", "given" : "Dongsheng", "non-dropping-particle" : "", "parse-names" : false, "suffix" : "" }, { "dropping-particle" : "", "family" : "Williams", "given" : "Richard a.", "non-dropping-particle" : "", "parse-names" : false, "suffix" : "" } ], "container-title" : "International Journal of Heat and Mass Transfer", "id" : "ITEM-1", "issue" : "1-2", "issued" : { "date-parts" : [ [ "2006" ] ] }, "page" : "240-250", "title" : "Heat transfer of aqueous suspensions of carbon nanotubes (CNT nanofluids)", "type" : "article-journal", "volume" : "49" }, "uris" : [ "http://www.mendeley.com/documents/?uuid=6db0d793-d0c3-4261-8a31-f9cc53b0f588" ] } ], "mendeley" : { "formattedCitation" : "[31]", "manualFormatting" : "Ding et al. (2006)", "plainTextFormattedCitation" : "[31]", "previouslyFormattedCitation" : "[31]"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Pr="00D51FCD">
        <w:rPr>
          <w:rFonts w:ascii="Times New Roman" w:hAnsi="Times New Roman" w:cs="Times New Roman"/>
          <w:noProof/>
          <w:sz w:val="24"/>
          <w:szCs w:val="24"/>
        </w:rPr>
        <w:t xml:space="preserve">Ding et al. </w:t>
      </w:r>
      <w:r w:rsidR="008859B9" w:rsidRPr="00D51FCD">
        <w:rPr>
          <w:rFonts w:ascii="Times New Roman" w:hAnsi="Times New Roman" w:cs="Times New Roman"/>
          <w:noProof/>
          <w:sz w:val="24"/>
          <w:szCs w:val="24"/>
        </w:rPr>
        <w:t>[</w:t>
      </w:r>
      <w:r w:rsidR="003C48EF" w:rsidRPr="00D51FCD">
        <w:rPr>
          <w:rFonts w:ascii="Times New Roman" w:hAnsi="Times New Roman" w:cs="Times New Roman"/>
          <w:noProof/>
          <w:sz w:val="24"/>
          <w:szCs w:val="24"/>
        </w:rPr>
        <w:t>29</w:t>
      </w:r>
      <w:r w:rsidR="008859B9" w:rsidRPr="00D51FCD">
        <w:rPr>
          <w:rFonts w:ascii="Times New Roman" w:hAnsi="Times New Roman" w:cs="Times New Roman"/>
          <w:noProof/>
          <w:sz w:val="24"/>
          <w:szCs w:val="24"/>
        </w:rPr>
        <w:t>]</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  for CNT in distilled water, </w:t>
      </w:r>
      <w:r w:rsidRPr="00D51FCD">
        <w:rPr>
          <w:rFonts w:ascii="Times New Roman" w:hAnsi="Times New Roman" w:cs="Times New Roman"/>
          <w:sz w:val="24"/>
          <w:szCs w:val="24"/>
        </w:rPr>
        <w:fldChar w:fldCharType="begin" w:fldLock="1"/>
      </w:r>
      <w:r w:rsidR="00D92291" w:rsidRPr="00D51FCD">
        <w:rPr>
          <w:rFonts w:ascii="Times New Roman" w:hAnsi="Times New Roman" w:cs="Times New Roman"/>
          <w:sz w:val="24"/>
          <w:szCs w:val="24"/>
        </w:rPr>
        <w:instrText>ADDIN CSL_CITATION { "citationItems" : [ { "id" : "ITEM-1", "itemData" : { "DOI" : "10.1016/j.ijthermalsci.2010.09.008", "ISBN" : "1290-0729", "ISSN" : "12900729", "abstract" : "Thermal conductivity, viscosity, and stability of nanofluids containing multi-walled carbon nanotubes (MWCNTs) stabilized by cationic chitosan were studied. Chitosan with weight fraction of 0.1%, 0.2 wt%, and 0.5 wt% was used to disperse stably MWCNTs in water. The measured thermal conductivity showed an enhancement from 2.3% to 13% for nanofluids that contained from 0.5 wt% to 3 wt% MWCNTs (0.24 to 1.43 vol %). These values are significantly higher than those predicted using the Maxwell's theory. We also observed that the enhancements were independent of the base fluid viscosity. Thus, use of microconvection effect to explain the anomalous thermal conductivity enhancement should be reconsidered. MWCNTs can be used either to enhance or reduce the fluid base viscosity depending on the weight fractions. In the viscosity-reduction case, a reduction up to 20% was measured by this work. In the viscosity-enhancement case, the fluid behaved as a non-Newtonian shear-thinning fluid. By assuming that MWCNT nanofluids behave as a generalized second grade fluid where the viscosity coefficient depends upon the rate of deformation, a theoretical model has been developed. The model was found to describe the fluid behavior very well. ?? 2010 Elsevier Masson SAS. All rights reserved.", "author" : [ { "dropping-particle" : "", "family" : "Phuoc", "given" : "Tran X.", "non-dropping-particle" : "", "parse-names" : false, "suffix" : "" }, { "dropping-particle" : "", "family" : "Massoudi", "given" : "Mehrdad", "non-dropping-particle" : "", "parse-names" : false, "suffix" : "" }, { "dropping-particle" : "", "family" : "Chen", "given" : "Ruey Hung", "non-dropping-particle" : "", "parse-names" : false, "suffix" : "" } ], "container-title" : "International Journal of Thermal Sciences", "id" : "ITEM-1", "issue" : "1", "issued" : { "date-parts" : [ [ "2011" ] ] }, "page" : "12-18", "publisher" : "Elsevier Masson SAS", "title" : "Viscosity and thermal conductivity of nanofluids containing multi-walled carbon nanotubes stabilized by chitosan", "type" : "article-journal", "volume" : "50" }, "uris" : [ "http://www.mendeley.com/documents/?uuid=808183b9-66f1-495d-9855-d8e5216cf43f" ] } ], "mendeley" : { "formattedCitation" : "[32]", "manualFormatting" : "Phuoc et al. (2011)", "plainTextFormattedCitation" : "[32]", "previouslyFormattedCitation" : "[32]"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Pr="00D51FCD">
        <w:rPr>
          <w:rFonts w:ascii="Times New Roman" w:hAnsi="Times New Roman" w:cs="Times New Roman"/>
          <w:noProof/>
          <w:sz w:val="24"/>
          <w:szCs w:val="24"/>
        </w:rPr>
        <w:t xml:space="preserve">Phuoc et al. </w:t>
      </w:r>
      <w:r w:rsidR="008859B9" w:rsidRPr="00D51FCD">
        <w:rPr>
          <w:rFonts w:ascii="Times New Roman" w:hAnsi="Times New Roman" w:cs="Times New Roman"/>
          <w:noProof/>
          <w:sz w:val="24"/>
          <w:szCs w:val="24"/>
        </w:rPr>
        <w:t>[30]</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 for MWCNT in deionised water with chitosan and </w:t>
      </w:r>
      <w:r w:rsidRPr="00D51FCD">
        <w:rPr>
          <w:rFonts w:ascii="Times New Roman" w:hAnsi="Times New Roman" w:cs="Times New Roman"/>
          <w:sz w:val="24"/>
          <w:szCs w:val="24"/>
        </w:rPr>
        <w:fldChar w:fldCharType="begin" w:fldLock="1"/>
      </w:r>
      <w:r w:rsidR="00D92291" w:rsidRPr="00D51FCD">
        <w:rPr>
          <w:rFonts w:ascii="Times New Roman" w:hAnsi="Times New Roman" w:cs="Times New Roman"/>
          <w:sz w:val="24"/>
          <w:szCs w:val="24"/>
        </w:rPr>
        <w:instrText>ADDIN CSL_CITATION { "citationItems" : [ { "id" : "ITEM-1", "itemData" : { "DOI" : "10.1016/j.tca.2012.07.017", "ISSN" : "00406031", "abstract" : "The present study is aimed to measure and analyze the thermo-physical properties of water-ethylene glycol mixture based CNT nanofluids experimentally at various temperatures. The measured density data show observable deviation from the predictions of the Pak and Cho correlation, due to spontaneous filling of water inside the carbon nanotubes in a confined way. The presence of multi wall carbon nanotubes (MWCNT) enhances the specific heat of the nanofluids considerably, and this enhancement decreases with increase of the MWCNT concentration. The maximum thermal conductivity enhancement reaches up to 19.75% for the nanofluid containing 0.45 vol.% MWCNT at 40??C. At a lower temperature range, the increase in the viscosity is low compared to the higher temperature for all the nanofluids. Further, the existing theoretical models could not predict the thermo-physical property values accurately, and the deviation has a great influence on the determination of the flow and heat transfer characteristics. ?? 2012 Elsevier B.V. All rights reserved.", "author" : [ { "dropping-particle" : "", "family" : "Kumaresan", "given" : "V.", "non-dropping-particle" : "", "parse-names" : false, "suffix" : "" }, { "dropping-particle" : "", "family" : "Velraj", "given" : "R.", "non-dropping-particle" : "", "parse-names" : false, "suffix" : "" } ], "container-title" : "Thermochimica Acta", "id" : "ITEM-1", "issued" : { "date-parts" : [ [ "2012" ] ] }, "page" : "180-186", "publisher" : "Elsevier B.V.", "title" : "Experimental investigation of the thermo-physical properties of water-ethylene glycol mixture based CNT nanofluids", "type" : "article-journal", "volume" : "545" }, "uris" : [ "http://www.mendeley.com/documents/?uuid=d7e5408d-821c-4786-9f9c-cadf5f8704fc" ] } ], "mendeley" : { "formattedCitation" : "[26]", "manualFormatting" : "Kumaresan &amp; Velraj (2012)", "plainTextFormattedCitation" : "[26]", "previouslyFormattedCitation" : "[26]"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Pr="00D51FCD">
        <w:rPr>
          <w:rFonts w:ascii="Times New Roman" w:hAnsi="Times New Roman" w:cs="Times New Roman"/>
          <w:noProof/>
          <w:sz w:val="24"/>
          <w:szCs w:val="24"/>
        </w:rPr>
        <w:t xml:space="preserve">Kumaresan &amp; Velraj </w:t>
      </w:r>
      <w:r w:rsidR="008859B9" w:rsidRPr="00D51FCD">
        <w:rPr>
          <w:rFonts w:ascii="Times New Roman" w:hAnsi="Times New Roman" w:cs="Times New Roman"/>
          <w:noProof/>
          <w:sz w:val="24"/>
          <w:szCs w:val="24"/>
        </w:rPr>
        <w:t>[</w:t>
      </w:r>
      <w:r w:rsidR="003C48EF" w:rsidRPr="00D51FCD">
        <w:rPr>
          <w:rFonts w:ascii="Times New Roman" w:hAnsi="Times New Roman" w:cs="Times New Roman"/>
          <w:noProof/>
          <w:sz w:val="24"/>
          <w:szCs w:val="24"/>
        </w:rPr>
        <w:t>24</w:t>
      </w:r>
      <w:r w:rsidR="008859B9" w:rsidRPr="00D51FCD">
        <w:rPr>
          <w:rFonts w:ascii="Times New Roman" w:hAnsi="Times New Roman" w:cs="Times New Roman"/>
          <w:noProof/>
          <w:sz w:val="24"/>
          <w:szCs w:val="24"/>
        </w:rPr>
        <w:t xml:space="preserve">] </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for MWCNT in ethylene glycol-water nanofluid. It can be concluded that increasing the concentration of MWCNT increases the thermal conductivity as more heat was transferred through the nanoparticles </w:t>
      </w:r>
      <w:r w:rsidRPr="00D51FCD">
        <w:rPr>
          <w:rFonts w:ascii="Times New Roman" w:hAnsi="Times New Roman" w:cs="Times New Roman"/>
          <w:sz w:val="24"/>
          <w:szCs w:val="24"/>
        </w:rPr>
        <w:fldChar w:fldCharType="begin" w:fldLock="1"/>
      </w:r>
      <w:r w:rsidR="00D92291" w:rsidRPr="00D51FCD">
        <w:rPr>
          <w:rFonts w:ascii="Times New Roman" w:hAnsi="Times New Roman" w:cs="Times New Roman"/>
          <w:sz w:val="24"/>
          <w:szCs w:val="24"/>
        </w:rPr>
        <w:instrText>ADDIN CSL_CITATION { "citationItems" : [ { "id" : "ITEM-1", "itemData" : { "DOI" : "10.1016/j.expthermflusci.2012.02.005", "ISBN" : "0894-1777", "ISSN" : "08941777", "abstract" : "This study deals with an experimental investigation on the thermo-physical properties and overall performance of MWCNT/heat transfer oil nanofluids flow inside vertical helically coiled tubes. Data were acquired for the laminar flow in the thermal entrance region, while the temperature of the tube wall was constant at around 95. ??C leading to isothermal boundary condition. Pure heat transfer oil and nanofluids with particle weight concentrations of 0.1%, 0.2% and 0.4% were utilized as the working fluids. It was observed that most conventional models fail to predict the thermo-physical properties of the applied nanofluids accurately, especially in case of the specific heat capacity. Therefore, rough empirical correlations were developed to estimate such properties for the working fluids. In addition, the overall performance of the tested helically coiled tubes was assessed based on the performance index and optimum work conditions were determined. High overall performance index of up to 6.4 was obtained for the simultaneous utilization of both heat transfer enhancement techniques considered in this paper. Hence, applying the methods studied here could be considered as a good choice in practical applications. ?? 2012 Elsevier Inc.", "author" : [ { "dropping-particle" : "", "family" : "Fakoor Pakdaman", "given" : "M.", "non-dropping-particle" : "", "parse-names" : false, "suffix" : "" }, { "dropping-particle" : "", "family" : "Akhavan-Behabadi", "given" : "M. A.", "non-dropping-particle" : "", "parse-names" : false, "suffix" : "" }, { "dropping-particle" : "", "family" : "Razi", "given" : "P.", "non-dropping-particle" : "", "parse-names" : false, "suffix" : "" } ], "container-title" : "Experimental Thermal and Fluid Science", "id" : "ITEM-1", "issued" : { "date-parts" : [ [ "2012" ] ] }, "page" : "103-111", "publisher" : "Elsevier Inc.", "title" : "An experimental investigation on thermo-physical properties and overall performance of MWCNT/heat transfer oil nanofluid flow inside vertical helically coiled tubes", "type" : "article-journal", "volume" : "40" }, "uris" : [ "http://www.mendeley.com/documents/?uuid=93ec99c8-c7d0-429b-bc50-dd326c9d1ac6" ] } ], "mendeley" : { "formattedCitation" : "[27]", "plainTextFormattedCitation" : "[27]", "previouslyFormattedCitation" : "[27]" }, "properties" : { "noteIndex" : 0 }, "schema" : "https://github.com/citation-style-language/schema/raw/master/csl-citation.json" }</w:instrText>
      </w:r>
      <w:r w:rsidRPr="00D51FCD">
        <w:rPr>
          <w:rFonts w:ascii="Times New Roman" w:hAnsi="Times New Roman" w:cs="Times New Roman"/>
          <w:sz w:val="24"/>
          <w:szCs w:val="24"/>
        </w:rPr>
        <w:fldChar w:fldCharType="separate"/>
      </w:r>
      <w:r w:rsidR="008859B9" w:rsidRPr="00D51FCD">
        <w:rPr>
          <w:rFonts w:ascii="Times New Roman" w:hAnsi="Times New Roman" w:cs="Times New Roman"/>
          <w:noProof/>
          <w:sz w:val="24"/>
          <w:szCs w:val="24"/>
        </w:rPr>
        <w:t>[</w:t>
      </w:r>
      <w:r w:rsidR="00104A8B" w:rsidRPr="00D51FCD">
        <w:rPr>
          <w:rFonts w:ascii="Times New Roman" w:hAnsi="Times New Roman" w:cs="Times New Roman"/>
          <w:noProof/>
          <w:sz w:val="24"/>
          <w:szCs w:val="24"/>
        </w:rPr>
        <w:t>27</w:t>
      </w:r>
      <w:r w:rsidR="0039571D" w:rsidRPr="00D51FCD">
        <w:rPr>
          <w:rFonts w:ascii="Times New Roman" w:hAnsi="Times New Roman" w:cs="Times New Roman"/>
          <w:noProof/>
          <w:sz w:val="24"/>
          <w:szCs w:val="24"/>
        </w:rPr>
        <w:t>]</w:t>
      </w:r>
      <w:r w:rsidRPr="00D51FCD">
        <w:rPr>
          <w:rFonts w:ascii="Times New Roman" w:hAnsi="Times New Roman" w:cs="Times New Roman"/>
          <w:sz w:val="24"/>
          <w:szCs w:val="24"/>
        </w:rPr>
        <w:fldChar w:fldCharType="end"/>
      </w:r>
      <w:r w:rsidRPr="00D51FCD">
        <w:rPr>
          <w:rFonts w:ascii="Times New Roman" w:hAnsi="Times New Roman" w:cs="Times New Roman"/>
          <w:sz w:val="24"/>
          <w:szCs w:val="24"/>
        </w:rPr>
        <w:t xml:space="preserve">. The MWCNT have high thermal conductivity well above 2000 W/m.K and high aspect ratio which makes the MWCNT nanofluids excellent heat transfer liquids. The enhanced thermal conductivity of </w:t>
      </w:r>
      <w:r w:rsidRPr="00D51FCD">
        <w:rPr>
          <w:rFonts w:ascii="Times New Roman" w:hAnsi="Times New Roman" w:cs="Times New Roman"/>
          <w:sz w:val="24"/>
          <w:szCs w:val="24"/>
        </w:rPr>
        <w:lastRenderedPageBreak/>
        <w:t>nanofluids are contributed by the nature of the heat conduction in the MWCNT suspension and the organised structure at the solid/liquid interface</w:t>
      </w:r>
      <w:r w:rsidR="004633BE" w:rsidRPr="00D51FCD">
        <w:rPr>
          <w:rFonts w:ascii="Times New Roman" w:hAnsi="Times New Roman" w:cs="Times New Roman"/>
          <w:sz w:val="24"/>
          <w:szCs w:val="24"/>
        </w:rPr>
        <w:t xml:space="preserve"> </w:t>
      </w:r>
      <w:r w:rsidR="004633BE" w:rsidRPr="00D51FCD">
        <w:rPr>
          <w:rFonts w:ascii="Times New Roman" w:hAnsi="Times New Roman" w:cs="Times New Roman"/>
          <w:sz w:val="24"/>
          <w:szCs w:val="24"/>
        </w:rPr>
        <w:fldChar w:fldCharType="begin" w:fldLock="1"/>
      </w:r>
      <w:r w:rsidR="004633BE" w:rsidRPr="00D51FCD">
        <w:rPr>
          <w:rFonts w:ascii="Times New Roman" w:hAnsi="Times New Roman" w:cs="Times New Roman"/>
          <w:sz w:val="24"/>
          <w:szCs w:val="24"/>
        </w:rPr>
        <w:instrText>ADDIN CSL_CITATION { "citationItems" : [ { "id" : "ITEM-1", "itemData" : { "DOI" : "10.1016/j.icheatmasstransfer.2005.05.005", "ISBN" : "0930-7516", "ISSN" : "07351933", "abstract" : "Thermal conductivity enhancements in ethylene glycol and synthetic engine oil in the presence of multi-walled carbon nanotubes (MWNTs) are investigated. CNT nanofluids are prepared using a two-step method. The volume concentration of CNT-ethylene glycol suspensions is below 1.0 vol.% and that of CNT-synthetic engine oil suspensions is below 2.0 vol.%. The thermal conductivities of the CNT suspensions are measured with a modified transient hot wire method. The results show that CNT-ethylene glycol suspensions have noticeably higher thermal conductivities than the ethylene glycol base fluid without CNT. The results for CNT-synthetic engine oil suspensions also exhibit the same trend. For CNT-ethylene glycol suspensions at a volume fraction of 0.01 (1 vol.%), thermal conductivity is enhanced by 12.4%. On the other hand, for CNT-synthetic engine oil suspension, thermal conductivity is enhanced by 30% at a volume fraction of 0.02 (2 vol.%). The rates of increase are, however, different for different base fluids. The CNT-synthetic engine oil suspension has a much higher enhanced thermal conductivity ratio than the CNT-ethylene glycol suspension. \u00a9 2005 Elsevier Ltd. All rights reserved.", "author" : [ { "dropping-particle" : "", "family" : "Liu", "given" : "Min-Sheng", "non-dropping-particle" : "", "parse-names" : false, "suffix" : "" }, { "dropping-particle" : "", "family" : "Ching-Cheng Lin", "given" : "Mark", "non-dropping-particle" : "", "parse-names" : false, "suffix" : "" }, { "dropping-particle" : "", "family" : "Huang", "given" : "I-Te", "non-dropping-particle" : "", "parse-names" : false, "suffix" : "" }, { "dropping-particle" : "", "family" : "Wang", "given" : "Chi-Chuan", "non-dropping-particle" : "", "parse-names" : false, "suffix" : "" } ], "container-title" : "International Communications in Heat and Mass Transfer", "id" : "ITEM-1", "issue" : "9", "issued" : { "date-parts" : [ [ "2005" ] ] }, "page" : "1202-1210", "title" : "Enhancement of thermal conductivity with carbon nanotube for nanofluids", "type" : "article-journal", "volume" : "32" }, "uris" : [ "http://www.mendeley.com/documents/?uuid=73d1b7cd-d4df-4e8f-af20-07a2441dcb9e" ] } ], "mendeley" : { "formattedCitation" : "[33]", "plainTextFormattedCitation" : "[33]", "previouslyFormattedCitation" : "[33]" }, "properties" : { "noteIndex" : 0 }, "schema" : "https://github.com/citation-style-language/schema/raw/master/csl-citation.json" }</w:instrText>
      </w:r>
      <w:r w:rsidR="004633BE" w:rsidRPr="00D51FCD">
        <w:rPr>
          <w:rFonts w:ascii="Times New Roman" w:hAnsi="Times New Roman" w:cs="Times New Roman"/>
          <w:sz w:val="24"/>
          <w:szCs w:val="24"/>
        </w:rPr>
        <w:fldChar w:fldCharType="separate"/>
      </w:r>
      <w:r w:rsidR="004633BE" w:rsidRPr="00D51FCD">
        <w:rPr>
          <w:rFonts w:ascii="Times New Roman" w:hAnsi="Times New Roman" w:cs="Times New Roman"/>
          <w:noProof/>
          <w:sz w:val="24"/>
          <w:szCs w:val="24"/>
        </w:rPr>
        <w:t>[</w:t>
      </w:r>
      <w:r w:rsidR="00104A8B" w:rsidRPr="00D51FCD">
        <w:rPr>
          <w:rFonts w:ascii="Times New Roman" w:hAnsi="Times New Roman" w:cs="Times New Roman"/>
          <w:noProof/>
          <w:sz w:val="24"/>
          <w:szCs w:val="24"/>
        </w:rPr>
        <w:t>31</w:t>
      </w:r>
      <w:r w:rsidR="004633BE" w:rsidRPr="00D51FCD">
        <w:rPr>
          <w:rFonts w:ascii="Times New Roman" w:hAnsi="Times New Roman" w:cs="Times New Roman"/>
          <w:noProof/>
          <w:sz w:val="24"/>
          <w:szCs w:val="24"/>
        </w:rPr>
        <w:t>]</w:t>
      </w:r>
      <w:r w:rsidR="004633BE" w:rsidRPr="00D51FCD">
        <w:rPr>
          <w:rFonts w:ascii="Times New Roman" w:hAnsi="Times New Roman" w:cs="Times New Roman"/>
          <w:sz w:val="24"/>
          <w:szCs w:val="24"/>
        </w:rPr>
        <w:fldChar w:fldCharType="end"/>
      </w:r>
      <w:r w:rsidRPr="00D51FCD">
        <w:rPr>
          <w:rFonts w:ascii="Times New Roman" w:hAnsi="Times New Roman" w:cs="Times New Roman"/>
          <w:sz w:val="24"/>
          <w:szCs w:val="24"/>
        </w:rPr>
        <w:t>.</w:t>
      </w:r>
    </w:p>
    <w:p w:rsidR="00A57CF0" w:rsidRPr="00D51FCD" w:rsidRDefault="00A57CF0" w:rsidP="001C115B">
      <w:pPr>
        <w:spacing w:line="240" w:lineRule="auto"/>
        <w:jc w:val="both"/>
        <w:rPr>
          <w:rFonts w:ascii="Times New Roman" w:hAnsi="Times New Roman" w:cs="Times New Roman"/>
          <w:sz w:val="24"/>
          <w:szCs w:val="24"/>
        </w:rPr>
      </w:pPr>
      <w:r w:rsidRPr="00D51FCD">
        <w:rPr>
          <w:rFonts w:ascii="Times New Roman" w:eastAsiaTheme="minorEastAsia" w:hAnsi="Times New Roman" w:cs="Times New Roman"/>
          <w:sz w:val="24"/>
          <w:szCs w:val="24"/>
        </w:rPr>
        <w:tab/>
        <w:t xml:space="preserve">From </w:t>
      </w:r>
      <w:r w:rsidRPr="00D51FCD">
        <w:rPr>
          <w:rFonts w:ascii="Times New Roman" w:eastAsiaTheme="minorEastAsia" w:hAnsi="Times New Roman" w:cs="Times New Roman"/>
          <w:sz w:val="24"/>
          <w:szCs w:val="24"/>
        </w:rPr>
        <w:fldChar w:fldCharType="begin"/>
      </w:r>
      <w:r w:rsidRPr="00D51FCD">
        <w:rPr>
          <w:rFonts w:ascii="Times New Roman" w:eastAsiaTheme="minorEastAsia" w:hAnsi="Times New Roman" w:cs="Times New Roman"/>
          <w:sz w:val="24"/>
          <w:szCs w:val="24"/>
        </w:rPr>
        <w:instrText xml:space="preserve"> REF _Ref479182393 \h  \* MERGEFORMAT </w:instrText>
      </w:r>
      <w:r w:rsidRPr="00D51FCD">
        <w:rPr>
          <w:rFonts w:ascii="Times New Roman" w:eastAsiaTheme="minorEastAsia" w:hAnsi="Times New Roman" w:cs="Times New Roman"/>
          <w:sz w:val="24"/>
          <w:szCs w:val="24"/>
        </w:rPr>
      </w:r>
      <w:r w:rsidRPr="00D51FCD">
        <w:rPr>
          <w:rFonts w:ascii="Times New Roman" w:eastAsiaTheme="minorEastAsia" w:hAnsi="Times New Roman" w:cs="Times New Roman"/>
          <w:sz w:val="24"/>
          <w:szCs w:val="24"/>
        </w:rPr>
        <w:fldChar w:fldCharType="separate"/>
      </w:r>
      <w:r w:rsidRPr="00D51FCD">
        <w:rPr>
          <w:rFonts w:ascii="Times New Roman" w:eastAsiaTheme="minorEastAsia" w:hAnsi="Times New Roman" w:cs="Times New Roman"/>
          <w:sz w:val="24"/>
          <w:szCs w:val="24"/>
        </w:rPr>
        <w:t>Figure 9</w:t>
      </w:r>
      <w:r w:rsidRPr="00D51FCD">
        <w:rPr>
          <w:rFonts w:ascii="Times New Roman" w:eastAsiaTheme="minorEastAsia" w:hAnsi="Times New Roman" w:cs="Times New Roman"/>
          <w:sz w:val="24"/>
          <w:szCs w:val="24"/>
        </w:rPr>
        <w:fldChar w:fldCharType="end"/>
      </w:r>
      <w:r w:rsidRPr="00D51FCD">
        <w:rPr>
          <w:rFonts w:ascii="Times New Roman" w:eastAsiaTheme="minorEastAsia" w:hAnsi="Times New Roman" w:cs="Times New Roman"/>
          <w:sz w:val="24"/>
          <w:szCs w:val="24"/>
        </w:rPr>
        <w:t xml:space="preserve">, an opposite behaviour was observed compared to glycerol DES based nanolubricant in Figure 8. The PEG DES based nanolubricant exhibit negative enhancement which means the addition of nanoparticles decreases the thermal conductivity of the samples. Only sample NF 15 and NF 18 showed positive value of 0.2% and 0.5% respectively at 100°C. Other than that, negative enhancement was obtained for the other samples and temperature with highest negative enhancement being -4.5% for NF 20 sample at 60°C. The nanoparticles moving randomly and colliding in the base fluid is known as Brownian motion. Brownian motion plays an important role in enhancement of thermal conductivity when the two particles collide there is solid-solid heat transfer taking place or heat transfer by diffusion. Stoke-Einstein equation is used to express the diffusion constant </w:t>
      </w:r>
      <w:r w:rsidRPr="00D51FCD">
        <w:rPr>
          <w:rFonts w:ascii="Times New Roman" w:eastAsiaTheme="minorEastAsia" w:hAnsi="Times New Roman" w:cs="Times New Roman"/>
          <w:sz w:val="24"/>
          <w:szCs w:val="24"/>
        </w:rPr>
        <w:fldChar w:fldCharType="begin" w:fldLock="1"/>
      </w:r>
      <w:r w:rsidRPr="00D51FCD">
        <w:rPr>
          <w:rFonts w:ascii="Times New Roman" w:eastAsiaTheme="minorEastAsia" w:hAnsi="Times New Roman" w:cs="Times New Roman"/>
          <w:sz w:val="24"/>
          <w:szCs w:val="24"/>
        </w:rPr>
        <w:instrText>ADDIN CSL_CITATION { "citationItems" : [ { "id" : "ITEM-1", "itemData" : { "author" : [ { "dropping-particle" : "", "family" : "Reddy", "given" : "K Prashanth", "non-dropping-particle" : "", "parse-names" : false, "suffix" : "" }, { "dropping-particle" : "", "family" : "Panitapu", "given" : "Bhramara", "non-dropping-particle" : "", "parse-names" : false, "suffix" : "" }, { "dropping-particle" : "", "family" : "Reddy", "given" : "G Arun", "non-dropping-particle" : "", "parse-names" : false, "suffix" : "" } ], "id" : "ITEM-1", "issue" : "6", "issued" : { "date-parts" : [ [ "2016" ] ] }, "title" : "Nano Fluids and Heat Transfer Enhancement a Review", "type" : "article-journal", "volume" : "7" }, "uris" : [ "http://www.mendeley.com/documents/?uuid=0af1040c-e7a3-4649-ab1e-a6337b930efd" ] } ], "mendeley" : { "formattedCitation" : "[34]", "plainTextFormattedCitation" : "[34]", "previouslyFormattedCitation" : "[34]" }, "properties" : { "noteIndex" : 0 }, "schema" : "https://github.com/citation-style-language/schema/raw/master/csl-citation.json" }</w:instrText>
      </w:r>
      <w:r w:rsidRPr="00D51FCD">
        <w:rPr>
          <w:rFonts w:ascii="Times New Roman" w:eastAsiaTheme="minorEastAsia" w:hAnsi="Times New Roman" w:cs="Times New Roman"/>
          <w:sz w:val="24"/>
          <w:szCs w:val="24"/>
        </w:rPr>
        <w:fldChar w:fldCharType="separate"/>
      </w:r>
      <w:r w:rsidRPr="00D51FCD">
        <w:rPr>
          <w:rFonts w:ascii="Times New Roman" w:eastAsiaTheme="minorEastAsia" w:hAnsi="Times New Roman" w:cs="Times New Roman"/>
          <w:noProof/>
          <w:sz w:val="24"/>
          <w:szCs w:val="24"/>
        </w:rPr>
        <w:t>[</w:t>
      </w:r>
      <w:r w:rsidR="00104A8B" w:rsidRPr="00D51FCD">
        <w:rPr>
          <w:rFonts w:ascii="Times New Roman" w:eastAsiaTheme="minorEastAsia" w:hAnsi="Times New Roman" w:cs="Times New Roman"/>
          <w:noProof/>
          <w:sz w:val="24"/>
          <w:szCs w:val="24"/>
        </w:rPr>
        <w:t>32</w:t>
      </w:r>
      <w:r w:rsidRPr="00D51FCD">
        <w:rPr>
          <w:rFonts w:ascii="Times New Roman" w:eastAsiaTheme="minorEastAsia" w:hAnsi="Times New Roman" w:cs="Times New Roman"/>
          <w:noProof/>
          <w:sz w:val="24"/>
          <w:szCs w:val="24"/>
        </w:rPr>
        <w:t>]</w:t>
      </w:r>
      <w:r w:rsidRPr="00D51FCD">
        <w:rPr>
          <w:rFonts w:ascii="Times New Roman" w:eastAsiaTheme="minorEastAsia" w:hAnsi="Times New Roman" w:cs="Times New Roman"/>
          <w:sz w:val="24"/>
          <w:szCs w:val="24"/>
        </w:rPr>
        <w:fldChar w:fldCharType="end"/>
      </w:r>
      <w:r w:rsidRPr="00D51FCD">
        <w:rPr>
          <w:rFonts w:ascii="Times New Roman" w:eastAsiaTheme="minorEastAsia" w:hAnsi="Times New Roman" w:cs="Times New Roman"/>
          <w:sz w:val="24"/>
          <w:szCs w:val="24"/>
        </w:rPr>
        <w:t>. There is an increase in viscosity for pure PEG with the formation of DES due to bonding of the three component DES which lead to the negative enhancement as the Brownian motion interrupted.</w:t>
      </w:r>
    </w:p>
    <w:p w:rsidR="000A10BE" w:rsidRPr="00D51FCD" w:rsidRDefault="000A10BE" w:rsidP="001C115B">
      <w:pPr>
        <w:spacing w:line="240" w:lineRule="auto"/>
        <w:jc w:val="both"/>
        <w:rPr>
          <w:rFonts w:ascii="Times New Roman" w:hAnsi="Times New Roman" w:cs="Times New Roman"/>
          <w:sz w:val="24"/>
          <w:szCs w:val="24"/>
        </w:rPr>
      </w:pPr>
    </w:p>
    <w:tbl>
      <w:tblPr>
        <w:tblStyle w:val="TableGrid2"/>
        <w:tblW w:w="9298" w:type="dxa"/>
        <w:tblLayout w:type="fixed"/>
        <w:tblLook w:val="04A0" w:firstRow="1" w:lastRow="0" w:firstColumn="1" w:lastColumn="0" w:noHBand="0" w:noVBand="1"/>
      </w:tblPr>
      <w:tblGrid>
        <w:gridCol w:w="4649"/>
        <w:gridCol w:w="4649"/>
      </w:tblGrid>
      <w:tr w:rsidR="001C115B" w:rsidRPr="00D51FCD" w:rsidTr="000E0B96">
        <w:trPr>
          <w:trHeight w:val="2835"/>
        </w:trPr>
        <w:tc>
          <w:tcPr>
            <w:tcW w:w="4649" w:type="dxa"/>
          </w:tcPr>
          <w:p w:rsidR="001C115B" w:rsidRPr="00D51FCD" w:rsidRDefault="001C115B" w:rsidP="000E0B96">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329F3453" wp14:editId="20A72C32">
                  <wp:extent cx="2880000" cy="1800000"/>
                  <wp:effectExtent l="0" t="0" r="0" b="0"/>
                  <wp:docPr id="266" name="Chart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C115B" w:rsidRPr="00D51FCD" w:rsidRDefault="001C115B" w:rsidP="000E0B96">
            <w:pPr>
              <w:jc w:val="center"/>
              <w:rPr>
                <w:rFonts w:ascii="Times New Roman" w:hAnsi="Times New Roman" w:cs="Times New Roman"/>
                <w:b/>
                <w:sz w:val="24"/>
                <w:szCs w:val="24"/>
              </w:rPr>
            </w:pPr>
            <w:r w:rsidRPr="00D51FCD">
              <w:rPr>
                <w:rFonts w:ascii="Times New Roman" w:hAnsi="Times New Roman" w:cs="Times New Roman"/>
                <w:sz w:val="24"/>
                <w:szCs w:val="24"/>
              </w:rPr>
              <w:t>a) DES 1 based nanolubricamt</w:t>
            </w:r>
          </w:p>
        </w:tc>
        <w:tc>
          <w:tcPr>
            <w:tcW w:w="4649" w:type="dxa"/>
          </w:tcPr>
          <w:p w:rsidR="001C115B" w:rsidRPr="00D51FCD" w:rsidRDefault="001C115B" w:rsidP="000E0B96">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48573E0D" wp14:editId="55F441ED">
                  <wp:extent cx="2880000" cy="1800000"/>
                  <wp:effectExtent l="0" t="0" r="0" b="0"/>
                  <wp:docPr id="267" name="Chart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C115B" w:rsidRPr="00D51FCD" w:rsidRDefault="001C115B" w:rsidP="000E0B96">
            <w:pPr>
              <w:jc w:val="center"/>
              <w:rPr>
                <w:rFonts w:ascii="Times New Roman" w:hAnsi="Times New Roman" w:cs="Times New Roman"/>
                <w:b/>
                <w:sz w:val="24"/>
                <w:szCs w:val="24"/>
              </w:rPr>
            </w:pPr>
            <w:r w:rsidRPr="00D51FCD">
              <w:rPr>
                <w:rFonts w:ascii="Times New Roman" w:hAnsi="Times New Roman" w:cs="Times New Roman"/>
                <w:sz w:val="24"/>
                <w:szCs w:val="24"/>
              </w:rPr>
              <w:t>b) DES 2 based nanolubricant</w:t>
            </w:r>
          </w:p>
        </w:tc>
      </w:tr>
      <w:tr w:rsidR="001C115B" w:rsidRPr="00D51FCD" w:rsidTr="000E0B96">
        <w:trPr>
          <w:trHeight w:val="2835"/>
        </w:trPr>
        <w:tc>
          <w:tcPr>
            <w:tcW w:w="4649" w:type="dxa"/>
          </w:tcPr>
          <w:p w:rsidR="001C115B" w:rsidRPr="00D51FCD" w:rsidRDefault="001C115B" w:rsidP="000E0B96">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16920CB3" wp14:editId="7BFDDC35">
                  <wp:extent cx="2880000" cy="1800000"/>
                  <wp:effectExtent l="0" t="0" r="0" b="0"/>
                  <wp:docPr id="268" name="Chart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C115B" w:rsidRPr="00D51FCD" w:rsidRDefault="001C115B" w:rsidP="000E0B96">
            <w:pPr>
              <w:jc w:val="center"/>
              <w:rPr>
                <w:rFonts w:ascii="Times New Roman" w:hAnsi="Times New Roman" w:cs="Times New Roman"/>
                <w:b/>
                <w:sz w:val="24"/>
                <w:szCs w:val="24"/>
              </w:rPr>
            </w:pPr>
            <w:r w:rsidRPr="00D51FCD">
              <w:rPr>
                <w:rFonts w:ascii="Times New Roman" w:hAnsi="Times New Roman" w:cs="Times New Roman"/>
                <w:sz w:val="24"/>
                <w:szCs w:val="24"/>
              </w:rPr>
              <w:t>c) DES 3 based nanolubricant</w:t>
            </w:r>
          </w:p>
        </w:tc>
        <w:tc>
          <w:tcPr>
            <w:tcW w:w="4649" w:type="dxa"/>
          </w:tcPr>
          <w:p w:rsidR="001C115B" w:rsidRPr="00D51FCD" w:rsidRDefault="001C115B" w:rsidP="000E0B96">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54F5CB66" wp14:editId="7488E27E">
                  <wp:extent cx="2880000" cy="1800000"/>
                  <wp:effectExtent l="0" t="0" r="0" b="0"/>
                  <wp:docPr id="269" name="Chart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C115B" w:rsidRPr="00D51FCD" w:rsidRDefault="001C115B" w:rsidP="000E0B96">
            <w:pPr>
              <w:jc w:val="center"/>
              <w:rPr>
                <w:rFonts w:ascii="Times New Roman" w:hAnsi="Times New Roman" w:cs="Times New Roman"/>
                <w:b/>
                <w:sz w:val="24"/>
                <w:szCs w:val="24"/>
              </w:rPr>
            </w:pPr>
            <w:r w:rsidRPr="00D51FCD">
              <w:rPr>
                <w:rFonts w:ascii="Times New Roman" w:hAnsi="Times New Roman" w:cs="Times New Roman"/>
                <w:sz w:val="24"/>
                <w:szCs w:val="24"/>
              </w:rPr>
              <w:t>d) DES 4 based nanolubricant</w:t>
            </w:r>
          </w:p>
        </w:tc>
      </w:tr>
    </w:tbl>
    <w:p w:rsidR="003041A5" w:rsidRPr="00D51FCD" w:rsidRDefault="001C115B" w:rsidP="003041A5">
      <w:pPr>
        <w:pStyle w:val="Caption"/>
        <w:jc w:val="center"/>
        <w:rPr>
          <w:rFonts w:cs="Times New Roman"/>
          <w:b/>
          <w:i w:val="0"/>
          <w:iCs w:val="0"/>
          <w:color w:val="auto"/>
          <w:sz w:val="24"/>
          <w:szCs w:val="24"/>
        </w:rPr>
      </w:pPr>
      <w:bookmarkStart w:id="24" w:name="_Ref479182322"/>
      <w:bookmarkStart w:id="25" w:name="_Toc479690821"/>
      <w:bookmarkStart w:id="26" w:name="_Toc479766381"/>
      <w:r w:rsidRPr="00D51FCD">
        <w:rPr>
          <w:rFonts w:cs="Times New Roman"/>
          <w:b/>
          <w:i w:val="0"/>
          <w:iCs w:val="0"/>
          <w:color w:val="auto"/>
          <w:sz w:val="24"/>
          <w:szCs w:val="24"/>
        </w:rPr>
        <w:t xml:space="preserve">Figure </w:t>
      </w:r>
      <w:bookmarkEnd w:id="24"/>
      <w:r w:rsidR="000E0B96" w:rsidRPr="00D51FCD">
        <w:rPr>
          <w:rFonts w:cs="Times New Roman"/>
          <w:b/>
          <w:i w:val="0"/>
          <w:iCs w:val="0"/>
          <w:color w:val="auto"/>
          <w:sz w:val="24"/>
          <w:szCs w:val="24"/>
        </w:rPr>
        <w:t>8</w:t>
      </w:r>
      <w:r w:rsidRPr="00D51FCD">
        <w:rPr>
          <w:rFonts w:cs="Times New Roman"/>
          <w:b/>
          <w:i w:val="0"/>
          <w:iCs w:val="0"/>
          <w:color w:val="auto"/>
          <w:sz w:val="24"/>
          <w:szCs w:val="24"/>
        </w:rPr>
        <w:t xml:space="preserve"> Percentage enhancement of thermal conductivity of glycerol DES based nanolubricants with respect to concentration of F-MWCNT</w:t>
      </w:r>
      <w:bookmarkEnd w:id="25"/>
      <w:bookmarkEnd w:id="26"/>
      <w:r w:rsidR="003041A5" w:rsidRPr="00D51FCD">
        <w:rPr>
          <w:rFonts w:cs="Times New Roman"/>
          <w:b/>
          <w:i w:val="0"/>
          <w:iCs w:val="0"/>
          <w:color w:val="auto"/>
          <w:sz w:val="24"/>
          <w:szCs w:val="24"/>
        </w:rPr>
        <w:t xml:space="preserve"> at temperature of 25</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 40</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 and 60</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w:t>
      </w:r>
    </w:p>
    <w:p w:rsidR="001D157F" w:rsidRPr="00D51FCD" w:rsidRDefault="001D157F" w:rsidP="000A10BE">
      <w:pPr>
        <w:pStyle w:val="Caption"/>
        <w:jc w:val="center"/>
        <w:rPr>
          <w:rFonts w:cs="Times New Roman"/>
          <w:b/>
          <w:i w:val="0"/>
          <w:iCs w:val="0"/>
          <w:color w:val="auto"/>
          <w:sz w:val="24"/>
          <w:szCs w:val="24"/>
        </w:rPr>
      </w:pPr>
    </w:p>
    <w:tbl>
      <w:tblPr>
        <w:tblStyle w:val="TableGrid2"/>
        <w:tblW w:w="9537" w:type="dxa"/>
        <w:tblInd w:w="-35" w:type="dxa"/>
        <w:tblLayout w:type="fixed"/>
        <w:tblLook w:val="04A0" w:firstRow="1" w:lastRow="0" w:firstColumn="1" w:lastColumn="0" w:noHBand="0" w:noVBand="1"/>
      </w:tblPr>
      <w:tblGrid>
        <w:gridCol w:w="1951"/>
        <w:gridCol w:w="2747"/>
        <w:gridCol w:w="2420"/>
        <w:gridCol w:w="2263"/>
        <w:gridCol w:w="156"/>
      </w:tblGrid>
      <w:tr w:rsidR="001C115B" w:rsidRPr="00D51FCD" w:rsidTr="000E0B96">
        <w:trPr>
          <w:gridAfter w:val="1"/>
          <w:wAfter w:w="156" w:type="dxa"/>
          <w:trHeight w:val="2835"/>
        </w:trPr>
        <w:tc>
          <w:tcPr>
            <w:tcW w:w="4698" w:type="dxa"/>
            <w:gridSpan w:val="2"/>
          </w:tcPr>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lastRenderedPageBreak/>
              <w:drawing>
                <wp:inline distT="0" distB="0" distL="0" distR="0" wp14:anchorId="4265DED4" wp14:editId="592249F3">
                  <wp:extent cx="2880000" cy="1800000"/>
                  <wp:effectExtent l="0" t="0" r="0" b="0"/>
                  <wp:docPr id="270"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C115B" w:rsidRPr="00D51FCD" w:rsidRDefault="001C115B" w:rsidP="001C115B">
            <w:pPr>
              <w:jc w:val="center"/>
              <w:rPr>
                <w:rFonts w:ascii="Times New Roman" w:hAnsi="Times New Roman" w:cs="Times New Roman"/>
                <w:b/>
                <w:sz w:val="24"/>
                <w:szCs w:val="24"/>
              </w:rPr>
            </w:pPr>
            <w:r w:rsidRPr="00D51FCD">
              <w:rPr>
                <w:rFonts w:ascii="Times New Roman" w:hAnsi="Times New Roman" w:cs="Times New Roman"/>
                <w:sz w:val="24"/>
                <w:szCs w:val="24"/>
              </w:rPr>
              <w:t>a) DES 5 based nanolubricant</w:t>
            </w:r>
          </w:p>
        </w:tc>
        <w:tc>
          <w:tcPr>
            <w:tcW w:w="4683" w:type="dxa"/>
            <w:gridSpan w:val="2"/>
          </w:tcPr>
          <w:p w:rsidR="001C115B" w:rsidRPr="00D51FCD" w:rsidRDefault="001C115B" w:rsidP="001C115B">
            <w:pPr>
              <w:jc w:val="cente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137BCE70" wp14:editId="0FAB6C64">
                  <wp:extent cx="2880000" cy="1800000"/>
                  <wp:effectExtent l="0" t="0" r="0" b="0"/>
                  <wp:docPr id="271" name="Chart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C115B" w:rsidRPr="00D51FCD" w:rsidRDefault="001C115B" w:rsidP="001C115B">
            <w:pPr>
              <w:jc w:val="center"/>
              <w:rPr>
                <w:rFonts w:ascii="Times New Roman" w:hAnsi="Times New Roman" w:cs="Times New Roman"/>
                <w:b/>
                <w:sz w:val="24"/>
                <w:szCs w:val="24"/>
              </w:rPr>
            </w:pPr>
            <w:r w:rsidRPr="00D51FCD">
              <w:rPr>
                <w:rFonts w:ascii="Times New Roman" w:hAnsi="Times New Roman" w:cs="Times New Roman"/>
                <w:sz w:val="24"/>
                <w:szCs w:val="24"/>
              </w:rPr>
              <w:t>b) DES 6 based nanolubricant</w:t>
            </w:r>
          </w:p>
        </w:tc>
      </w:tr>
      <w:tr w:rsidR="001C115B" w:rsidRPr="00D51FCD" w:rsidTr="000E0B96">
        <w:trPr>
          <w:trHeight w:val="2835"/>
        </w:trPr>
        <w:tc>
          <w:tcPr>
            <w:tcW w:w="1951" w:type="dxa"/>
            <w:tcBorders>
              <w:top w:val="nil"/>
              <w:left w:val="nil"/>
              <w:bottom w:val="nil"/>
              <w:right w:val="single" w:sz="4" w:space="0" w:color="auto"/>
            </w:tcBorders>
          </w:tcPr>
          <w:p w:rsidR="001C115B" w:rsidRPr="00D51FCD" w:rsidRDefault="001C115B" w:rsidP="001C115B">
            <w:pPr>
              <w:rPr>
                <w:rFonts w:ascii="Times New Roman" w:hAnsi="Times New Roman" w:cs="Times New Roman"/>
                <w:b/>
                <w:sz w:val="24"/>
                <w:szCs w:val="24"/>
              </w:rPr>
            </w:pPr>
          </w:p>
        </w:tc>
        <w:tc>
          <w:tcPr>
            <w:tcW w:w="5167" w:type="dxa"/>
            <w:gridSpan w:val="2"/>
            <w:tcBorders>
              <w:left w:val="single" w:sz="4" w:space="0" w:color="auto"/>
              <w:right w:val="single" w:sz="4" w:space="0" w:color="auto"/>
            </w:tcBorders>
          </w:tcPr>
          <w:p w:rsidR="001C115B" w:rsidRPr="00D51FCD" w:rsidRDefault="001C115B" w:rsidP="001C115B">
            <w:pPr>
              <w:rPr>
                <w:rFonts w:ascii="Times New Roman" w:hAnsi="Times New Roman" w:cs="Times New Roman"/>
                <w:sz w:val="24"/>
                <w:szCs w:val="24"/>
              </w:rPr>
            </w:pPr>
            <w:r w:rsidRPr="00D51FCD">
              <w:rPr>
                <w:rFonts w:ascii="Times New Roman" w:hAnsi="Times New Roman" w:cs="Times New Roman"/>
                <w:noProof/>
                <w:sz w:val="24"/>
                <w:szCs w:val="24"/>
                <w:lang w:val="en-US"/>
              </w:rPr>
              <w:drawing>
                <wp:inline distT="0" distB="0" distL="0" distR="0" wp14:anchorId="3E69F9AB" wp14:editId="029BD796">
                  <wp:extent cx="2880000" cy="1800000"/>
                  <wp:effectExtent l="0" t="0" r="0" b="0"/>
                  <wp:docPr id="272" name="Chart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C115B" w:rsidRPr="00D51FCD" w:rsidRDefault="001C115B" w:rsidP="001C115B">
            <w:pPr>
              <w:jc w:val="center"/>
              <w:rPr>
                <w:rFonts w:ascii="Times New Roman" w:hAnsi="Times New Roman" w:cs="Times New Roman"/>
                <w:b/>
                <w:sz w:val="24"/>
                <w:szCs w:val="24"/>
              </w:rPr>
            </w:pPr>
            <w:r w:rsidRPr="00D51FCD">
              <w:rPr>
                <w:rFonts w:ascii="Times New Roman" w:hAnsi="Times New Roman" w:cs="Times New Roman"/>
                <w:sz w:val="24"/>
                <w:szCs w:val="24"/>
              </w:rPr>
              <w:t>c) DES 7 based nanolubricant</w:t>
            </w:r>
          </w:p>
        </w:tc>
        <w:tc>
          <w:tcPr>
            <w:tcW w:w="2419" w:type="dxa"/>
            <w:gridSpan w:val="2"/>
            <w:tcBorders>
              <w:top w:val="nil"/>
              <w:left w:val="single" w:sz="4" w:space="0" w:color="auto"/>
              <w:bottom w:val="nil"/>
              <w:right w:val="nil"/>
            </w:tcBorders>
          </w:tcPr>
          <w:p w:rsidR="001C115B" w:rsidRPr="00D51FCD" w:rsidRDefault="001C115B" w:rsidP="001C115B">
            <w:pPr>
              <w:rPr>
                <w:rFonts w:ascii="Times New Roman" w:hAnsi="Times New Roman" w:cs="Times New Roman"/>
                <w:b/>
                <w:sz w:val="24"/>
                <w:szCs w:val="24"/>
              </w:rPr>
            </w:pPr>
          </w:p>
        </w:tc>
      </w:tr>
    </w:tbl>
    <w:p w:rsidR="00441283" w:rsidRPr="00D51FCD" w:rsidRDefault="001C115B" w:rsidP="003041A5">
      <w:pPr>
        <w:pStyle w:val="Caption"/>
        <w:jc w:val="center"/>
        <w:rPr>
          <w:rFonts w:cs="Times New Roman"/>
          <w:b/>
          <w:i w:val="0"/>
          <w:iCs w:val="0"/>
          <w:color w:val="auto"/>
          <w:sz w:val="24"/>
          <w:szCs w:val="24"/>
        </w:rPr>
      </w:pPr>
      <w:bookmarkStart w:id="27" w:name="_Ref479182393"/>
      <w:bookmarkStart w:id="28" w:name="_Toc479690822"/>
      <w:bookmarkStart w:id="29" w:name="_Toc479766382"/>
      <w:r w:rsidRPr="00D51FCD">
        <w:rPr>
          <w:rFonts w:cs="Times New Roman"/>
          <w:b/>
          <w:i w:val="0"/>
          <w:iCs w:val="0"/>
          <w:color w:val="auto"/>
          <w:sz w:val="24"/>
          <w:szCs w:val="24"/>
        </w:rPr>
        <w:t xml:space="preserve">Figure </w:t>
      </w:r>
      <w:bookmarkEnd w:id="27"/>
      <w:r w:rsidR="000E0B96" w:rsidRPr="00D51FCD">
        <w:rPr>
          <w:rFonts w:cs="Times New Roman"/>
          <w:b/>
          <w:i w:val="0"/>
          <w:iCs w:val="0"/>
          <w:color w:val="auto"/>
          <w:sz w:val="24"/>
          <w:szCs w:val="24"/>
        </w:rPr>
        <w:t>9</w:t>
      </w:r>
      <w:r w:rsidRPr="00D51FCD">
        <w:rPr>
          <w:rFonts w:cs="Times New Roman"/>
          <w:b/>
          <w:i w:val="0"/>
          <w:iCs w:val="0"/>
          <w:color w:val="auto"/>
          <w:sz w:val="24"/>
          <w:szCs w:val="24"/>
        </w:rPr>
        <w:t xml:space="preserve"> Percentage enhancement of thermal conductivity of PEG DES based nanolubricants with respect to concentration of F-MWCNT</w:t>
      </w:r>
      <w:bookmarkEnd w:id="28"/>
      <w:bookmarkEnd w:id="29"/>
      <w:r w:rsidR="003041A5" w:rsidRPr="00D51FCD">
        <w:rPr>
          <w:rFonts w:cs="Times New Roman"/>
          <w:b/>
          <w:i w:val="0"/>
          <w:iCs w:val="0"/>
          <w:color w:val="auto"/>
          <w:sz w:val="24"/>
          <w:szCs w:val="24"/>
        </w:rPr>
        <w:t xml:space="preserve"> at temperature of 25</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 40</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 and 60</w:t>
      </w:r>
      <w:r w:rsidR="003041A5" w:rsidRPr="00D51FCD">
        <w:rPr>
          <w:rFonts w:ascii="Century Gothic" w:hAnsi="Century Gothic" w:cs="Times New Roman"/>
          <w:b/>
          <w:i w:val="0"/>
          <w:iCs w:val="0"/>
          <w:color w:val="auto"/>
          <w:sz w:val="24"/>
          <w:szCs w:val="24"/>
        </w:rPr>
        <w:t>°</w:t>
      </w:r>
      <w:r w:rsidR="003041A5" w:rsidRPr="00D51FCD">
        <w:rPr>
          <w:rFonts w:cs="Times New Roman"/>
          <w:b/>
          <w:i w:val="0"/>
          <w:iCs w:val="0"/>
          <w:color w:val="auto"/>
          <w:sz w:val="24"/>
          <w:szCs w:val="24"/>
        </w:rPr>
        <w:t>C</w:t>
      </w:r>
    </w:p>
    <w:p w:rsidR="003041A5" w:rsidRPr="00D51FCD" w:rsidRDefault="003041A5" w:rsidP="003041A5"/>
    <w:p w:rsidR="004633BE" w:rsidRPr="00D51FCD" w:rsidRDefault="004633BE" w:rsidP="002716DB">
      <w:pPr>
        <w:spacing w:line="240" w:lineRule="auto"/>
        <w:rPr>
          <w:rFonts w:ascii="Times New Roman" w:hAnsi="Times New Roman" w:cs="Times New Roman"/>
          <w:b/>
          <w:sz w:val="24"/>
          <w:szCs w:val="24"/>
        </w:rPr>
      </w:pPr>
      <w:r w:rsidRPr="00D51FCD">
        <w:rPr>
          <w:rFonts w:ascii="Times New Roman" w:hAnsi="Times New Roman" w:cs="Times New Roman"/>
          <w:b/>
          <w:sz w:val="24"/>
          <w:szCs w:val="24"/>
        </w:rPr>
        <w:t>4. Conclusion</w:t>
      </w:r>
    </w:p>
    <w:p w:rsidR="002716DB" w:rsidRPr="00D51FCD" w:rsidRDefault="002716DB" w:rsidP="002716DB">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t xml:space="preserve">The potential of nanolubricants are vibrantly being explored as the future of the lubrication industry. The formation of glycerol and PEG 600 based DES with choline chloride salt as the base fluid for the nanolubricant. The addition of F-MWCNT with three different concentration were found to be stable and even the nanoparticle tends to sediment, the nanolubricant can easily dispersed with simple shaking of the samples. The PEG DES based nanolubricant showed better stability and smaller agglomerate size than the glycerol DES based nanolubricant. The density decreases as the temperature increases and most of the sample showed very less variation with the addition of F-MWCNT. Similarly, the dynamic viscosity also decreases with increasing temperature and the addition of F-MWCNT effected the resultant viscosity. The highest enhancement of viscosity was found for concentration of 0.1 wt% F-MWCNT with 255.3% for glycerol DES nanolubricant and 104.5% for PEG DES based nanolubricant. Viscosity plays a vital role when it comes to lubrication and the viscosity of the nanolubricants were found to be sufficient to function as lubricant when compared with other commercial lubricants. Besides that, the glycerol DES based nanolubricant showed positive enhancement of thermal conductivity whereas the PEG DES based nanolubricant showed negative enhancement. The enhancement either positive or negative could be useful when the nanolubricant were specified for certain lubricant application. </w:t>
      </w:r>
      <w:r w:rsidR="001D157F" w:rsidRPr="00D51FCD">
        <w:rPr>
          <w:rFonts w:ascii="Times New Roman" w:hAnsi="Times New Roman" w:cs="Times New Roman"/>
          <w:sz w:val="24"/>
          <w:szCs w:val="24"/>
        </w:rPr>
        <w:t xml:space="preserve">Nevertheless, more extensive and vigorous research need to be conducted for better understanding of DES-CNT nanolubricants as industrial application. There are a lot of potential of the DES base fluid and nanoparticle combination. </w:t>
      </w:r>
    </w:p>
    <w:p w:rsidR="002716DB" w:rsidRPr="00D51FCD" w:rsidRDefault="002716DB" w:rsidP="005160F4">
      <w:pPr>
        <w:spacing w:line="240" w:lineRule="auto"/>
        <w:jc w:val="both"/>
        <w:rPr>
          <w:rFonts w:ascii="Times New Roman" w:hAnsi="Times New Roman" w:cs="Times New Roman"/>
          <w:sz w:val="24"/>
          <w:szCs w:val="24"/>
        </w:rPr>
      </w:pPr>
      <w:r w:rsidRPr="00D51FCD">
        <w:rPr>
          <w:rFonts w:ascii="Times New Roman" w:hAnsi="Times New Roman" w:cs="Times New Roman"/>
          <w:sz w:val="24"/>
          <w:szCs w:val="24"/>
        </w:rPr>
        <w:lastRenderedPageBreak/>
        <w:tab/>
      </w:r>
    </w:p>
    <w:p w:rsidR="004633BE" w:rsidRPr="00D51FCD" w:rsidRDefault="000A10BE" w:rsidP="005160F4">
      <w:pPr>
        <w:spacing w:line="240" w:lineRule="auto"/>
        <w:rPr>
          <w:rFonts w:ascii="Times New Roman" w:hAnsi="Times New Roman" w:cs="Times New Roman"/>
          <w:b/>
          <w:sz w:val="24"/>
          <w:szCs w:val="24"/>
        </w:rPr>
      </w:pPr>
      <w:r w:rsidRPr="00D51FCD">
        <w:rPr>
          <w:rFonts w:ascii="Times New Roman" w:hAnsi="Times New Roman" w:cs="Times New Roman"/>
          <w:b/>
          <w:sz w:val="24"/>
          <w:szCs w:val="24"/>
        </w:rPr>
        <w:t xml:space="preserve">5. References </w:t>
      </w:r>
    </w:p>
    <w:p w:rsidR="0039407E" w:rsidRPr="00D51FCD" w:rsidRDefault="0039407E" w:rsidP="005160F4">
      <w:pPr>
        <w:spacing w:line="240" w:lineRule="auto"/>
        <w:rPr>
          <w:rFonts w:ascii="Times New Roman" w:hAnsi="Times New Roman" w:cs="Times New Roman"/>
          <w:b/>
          <w:sz w:val="24"/>
          <w:szCs w:val="24"/>
        </w:rPr>
      </w:pPr>
    </w:p>
    <w:p w:rsidR="005160F4" w:rsidRPr="00D51FCD" w:rsidRDefault="005160F4"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b/>
          <w:sz w:val="24"/>
          <w:szCs w:val="24"/>
        </w:rPr>
        <w:fldChar w:fldCharType="begin" w:fldLock="1"/>
      </w:r>
      <w:r w:rsidRPr="00D51FCD">
        <w:rPr>
          <w:rFonts w:ascii="Times New Roman" w:hAnsi="Times New Roman" w:cs="Times New Roman"/>
          <w:b/>
          <w:sz w:val="24"/>
          <w:szCs w:val="24"/>
        </w:rPr>
        <w:instrText xml:space="preserve">ADDIN Mendeley Bibliography CSL_BIBLIOGRAPHY </w:instrText>
      </w:r>
      <w:r w:rsidRPr="00D51FCD">
        <w:rPr>
          <w:rFonts w:ascii="Times New Roman" w:hAnsi="Times New Roman" w:cs="Times New Roman"/>
          <w:b/>
          <w:sz w:val="24"/>
          <w:szCs w:val="24"/>
        </w:rPr>
        <w:fldChar w:fldCharType="separate"/>
      </w:r>
      <w:r w:rsidRPr="00D51FCD">
        <w:rPr>
          <w:rFonts w:ascii="Times New Roman" w:hAnsi="Times New Roman" w:cs="Times New Roman"/>
          <w:noProof/>
          <w:sz w:val="24"/>
          <w:szCs w:val="24"/>
        </w:rPr>
        <w:t>[1]</w:t>
      </w:r>
      <w:r w:rsidRPr="00D51FCD">
        <w:rPr>
          <w:rFonts w:ascii="Times New Roman" w:hAnsi="Times New Roman" w:cs="Times New Roman"/>
          <w:noProof/>
          <w:sz w:val="24"/>
          <w:szCs w:val="24"/>
        </w:rPr>
        <w:tab/>
        <w:t xml:space="preserve">R. Mortier, M. Fox, and S. Orszulik, </w:t>
      </w:r>
      <w:r w:rsidRPr="00D51FCD">
        <w:rPr>
          <w:rFonts w:ascii="Times New Roman" w:hAnsi="Times New Roman" w:cs="Times New Roman"/>
          <w:i/>
          <w:iCs/>
          <w:noProof/>
          <w:sz w:val="24"/>
          <w:szCs w:val="24"/>
        </w:rPr>
        <w:t>Chemistry and technology of lubricants</w:t>
      </w:r>
      <w:r w:rsidRPr="00D51FCD">
        <w:rPr>
          <w:rFonts w:ascii="Times New Roman" w:hAnsi="Times New Roman" w:cs="Times New Roman"/>
          <w:noProof/>
          <w:sz w:val="24"/>
          <w:szCs w:val="24"/>
        </w:rPr>
        <w:t>, vol. 53. Dordrecht: Springer, 2010.</w:t>
      </w:r>
    </w:p>
    <w:p w:rsidR="005160F4" w:rsidRPr="00D51FCD" w:rsidRDefault="005160F4"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[2]</w:t>
      </w:r>
      <w:r w:rsidRPr="00D51FCD">
        <w:rPr>
          <w:rFonts w:ascii="Times New Roman" w:hAnsi="Times New Roman" w:cs="Times New Roman"/>
          <w:noProof/>
          <w:sz w:val="24"/>
          <w:szCs w:val="24"/>
        </w:rPr>
        <w:tab/>
        <w:t xml:space="preserve">G. W. Stachowiak and A. W. Batchelor, </w:t>
      </w:r>
      <w:r w:rsidRPr="00D51FCD">
        <w:rPr>
          <w:rFonts w:ascii="Times New Roman" w:hAnsi="Times New Roman" w:cs="Times New Roman"/>
          <w:i/>
          <w:iCs/>
          <w:noProof/>
          <w:sz w:val="24"/>
          <w:szCs w:val="24"/>
        </w:rPr>
        <w:t>Engineering tribology</w:t>
      </w:r>
      <w:r w:rsidRPr="00D51FCD">
        <w:rPr>
          <w:rFonts w:ascii="Times New Roman" w:hAnsi="Times New Roman" w:cs="Times New Roman"/>
          <w:noProof/>
          <w:sz w:val="24"/>
          <w:szCs w:val="24"/>
        </w:rPr>
        <w:t>. Amsterdam: Elsevier, 2005.</w:t>
      </w:r>
    </w:p>
    <w:p w:rsidR="005160F4" w:rsidRPr="00D51FCD" w:rsidRDefault="005160F4"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[3]</w:t>
      </w:r>
      <w:r w:rsidRPr="00D51FCD">
        <w:rPr>
          <w:rFonts w:ascii="Times New Roman" w:hAnsi="Times New Roman" w:cs="Times New Roman"/>
          <w:noProof/>
          <w:sz w:val="24"/>
          <w:szCs w:val="24"/>
        </w:rPr>
        <w:tab/>
        <w:t xml:space="preserve">D. Pirro, “Lubrication Fundamentals,” in </w:t>
      </w:r>
      <w:r w:rsidRPr="00D51FCD">
        <w:rPr>
          <w:rFonts w:ascii="Times New Roman" w:hAnsi="Times New Roman" w:cs="Times New Roman"/>
          <w:i/>
          <w:iCs/>
          <w:noProof/>
          <w:sz w:val="24"/>
          <w:szCs w:val="24"/>
        </w:rPr>
        <w:t>Comprehensive Review of Lubricant Chemistry, Technology, Selection, and Design</w:t>
      </w:r>
      <w:r w:rsidR="007C710E" w:rsidRPr="00D51FCD">
        <w:rPr>
          <w:rFonts w:ascii="Times New Roman" w:hAnsi="Times New Roman" w:cs="Times New Roman"/>
          <w:noProof/>
          <w:sz w:val="24"/>
          <w:szCs w:val="24"/>
        </w:rPr>
        <w:t>,</w:t>
      </w:r>
      <w:r w:rsidRPr="00D51FCD">
        <w:rPr>
          <w:rFonts w:ascii="Times New Roman" w:hAnsi="Times New Roman" w:cs="Times New Roman"/>
          <w:noProof/>
          <w:sz w:val="24"/>
          <w:szCs w:val="24"/>
        </w:rPr>
        <w:t xml:space="preserve"> pp. 1–22</w:t>
      </w:r>
      <w:r w:rsidR="007C710E" w:rsidRPr="00D51FCD">
        <w:rPr>
          <w:rFonts w:ascii="Times New Roman" w:hAnsi="Times New Roman" w:cs="Times New Roman"/>
          <w:noProof/>
          <w:sz w:val="24"/>
          <w:szCs w:val="24"/>
        </w:rPr>
        <w:t>, 2001</w:t>
      </w:r>
      <w:r w:rsidRPr="00D51FCD">
        <w:rPr>
          <w:rFonts w:ascii="Times New Roman" w:hAnsi="Times New Roman" w:cs="Times New Roman"/>
          <w:noProof/>
          <w:sz w:val="24"/>
          <w:szCs w:val="24"/>
        </w:rPr>
        <w:t>.</w:t>
      </w:r>
    </w:p>
    <w:p w:rsidR="00104A8B" w:rsidRPr="00D51FCD" w:rsidRDefault="00104A8B" w:rsidP="007C710E">
      <w:pPr>
        <w:spacing w:line="240" w:lineRule="auto"/>
        <w:ind w:left="630" w:hanging="630"/>
        <w:jc w:val="both"/>
        <w:rPr>
          <w:rFonts w:ascii="Times New Roman" w:hAnsi="Times New Roman" w:cs="Times New Roman"/>
          <w:noProof/>
          <w:sz w:val="24"/>
          <w:szCs w:val="24"/>
        </w:rPr>
      </w:pPr>
      <w:r w:rsidRPr="00D51FCD">
        <w:rPr>
          <w:rFonts w:ascii="Times New Roman" w:hAnsi="Times New Roman" w:cs="Times New Roman"/>
          <w:noProof/>
          <w:sz w:val="24"/>
          <w:szCs w:val="24"/>
        </w:rPr>
        <w:t xml:space="preserve">[4]     </w:t>
      </w:r>
      <w:r w:rsidR="003C48EF" w:rsidRPr="00D51FCD">
        <w:rPr>
          <w:rFonts w:ascii="Times New Roman" w:hAnsi="Times New Roman" w:cs="Times New Roman"/>
          <w:noProof/>
          <w:sz w:val="24"/>
          <w:szCs w:val="24"/>
        </w:rPr>
        <w:t>J</w:t>
      </w:r>
      <w:r w:rsidR="007C710E" w:rsidRPr="00D51FCD">
        <w:rPr>
          <w:rFonts w:ascii="Times New Roman" w:hAnsi="Times New Roman" w:cs="Times New Roman"/>
          <w:noProof/>
          <w:sz w:val="24"/>
          <w:szCs w:val="24"/>
        </w:rPr>
        <w:t>. Qu, H. Luo, M. Chi, C Ma</w:t>
      </w:r>
      <w:r w:rsidRPr="00D51FCD">
        <w:rPr>
          <w:rFonts w:ascii="Times New Roman" w:hAnsi="Times New Roman" w:cs="Times New Roman"/>
          <w:noProof/>
          <w:sz w:val="24"/>
          <w:szCs w:val="24"/>
        </w:rPr>
        <w:t xml:space="preserve">, </w:t>
      </w:r>
      <w:r w:rsidR="007C710E" w:rsidRPr="00D51FCD">
        <w:rPr>
          <w:rFonts w:ascii="Times New Roman" w:hAnsi="Times New Roman" w:cs="Times New Roman"/>
          <w:noProof/>
          <w:sz w:val="24"/>
          <w:szCs w:val="24"/>
        </w:rPr>
        <w:t>P. J. Blau, S. Dai, and M. B Viola,</w:t>
      </w:r>
      <w:r w:rsidRPr="00D51FCD">
        <w:rPr>
          <w:rFonts w:ascii="Times New Roman" w:hAnsi="Times New Roman" w:cs="Times New Roman"/>
          <w:noProof/>
          <w:sz w:val="24"/>
          <w:szCs w:val="24"/>
        </w:rPr>
        <w:t xml:space="preserve"> Comparison of an oil-miscible ionic liquid and ZDDP as a lubricant anti-wear additive. </w:t>
      </w:r>
      <w:r w:rsidRPr="00D51FCD">
        <w:rPr>
          <w:rFonts w:ascii="Times New Roman" w:hAnsi="Times New Roman" w:cs="Times New Roman"/>
          <w:i/>
          <w:iCs/>
          <w:noProof/>
          <w:sz w:val="24"/>
          <w:szCs w:val="24"/>
        </w:rPr>
        <w:t>Tribology International</w:t>
      </w:r>
      <w:r w:rsidR="007C710E" w:rsidRPr="00D51FCD">
        <w:rPr>
          <w:rFonts w:ascii="Times New Roman" w:hAnsi="Times New Roman" w:cs="Times New Roman"/>
          <w:noProof/>
          <w:sz w:val="24"/>
          <w:szCs w:val="24"/>
        </w:rPr>
        <w:t xml:space="preserve">, </w:t>
      </w:r>
      <w:r w:rsidRPr="00D51FCD">
        <w:rPr>
          <w:rFonts w:ascii="Times New Roman" w:hAnsi="Times New Roman" w:cs="Times New Roman"/>
          <w:i/>
          <w:iCs/>
          <w:noProof/>
          <w:sz w:val="24"/>
          <w:szCs w:val="24"/>
        </w:rPr>
        <w:t>71</w:t>
      </w:r>
      <w:r w:rsidR="007C710E" w:rsidRPr="00D51FCD">
        <w:rPr>
          <w:rFonts w:ascii="Times New Roman" w:hAnsi="Times New Roman" w:cs="Times New Roman"/>
          <w:noProof/>
          <w:sz w:val="24"/>
          <w:szCs w:val="24"/>
        </w:rPr>
        <w:t>, 88–97, 2014.</w:t>
      </w:r>
    </w:p>
    <w:p w:rsidR="00104A8B" w:rsidRPr="00D51FCD" w:rsidRDefault="00104A8B" w:rsidP="007C710E">
      <w:pPr>
        <w:spacing w:line="240" w:lineRule="auto"/>
        <w:ind w:left="630" w:hanging="630"/>
        <w:jc w:val="both"/>
        <w:rPr>
          <w:rFonts w:ascii="Times New Roman" w:hAnsi="Times New Roman" w:cs="Times New Roman"/>
          <w:noProof/>
          <w:sz w:val="24"/>
          <w:szCs w:val="24"/>
        </w:rPr>
      </w:pPr>
      <w:r w:rsidRPr="00D51FCD">
        <w:rPr>
          <w:rFonts w:ascii="Times New Roman" w:hAnsi="Times New Roman" w:cs="Times New Roman"/>
          <w:noProof/>
          <w:sz w:val="24"/>
          <w:szCs w:val="24"/>
        </w:rPr>
        <w:t xml:space="preserve">[5]     </w:t>
      </w:r>
      <w:r w:rsidR="007C710E" w:rsidRPr="00D51FCD">
        <w:rPr>
          <w:rFonts w:ascii="Times New Roman" w:hAnsi="Times New Roman" w:cs="Times New Roman"/>
          <w:noProof/>
          <w:sz w:val="24"/>
          <w:szCs w:val="24"/>
        </w:rPr>
        <w:t>B. Khemchandani, A.</w:t>
      </w:r>
      <w:r w:rsidRPr="00D51FCD">
        <w:rPr>
          <w:rFonts w:ascii="Times New Roman" w:hAnsi="Times New Roman" w:cs="Times New Roman"/>
          <w:noProof/>
          <w:sz w:val="24"/>
          <w:szCs w:val="24"/>
        </w:rPr>
        <w:t xml:space="preserve"> S</w:t>
      </w:r>
      <w:r w:rsidR="007C710E" w:rsidRPr="00D51FCD">
        <w:rPr>
          <w:rFonts w:ascii="Times New Roman" w:hAnsi="Times New Roman" w:cs="Times New Roman"/>
          <w:noProof/>
          <w:sz w:val="24"/>
          <w:szCs w:val="24"/>
        </w:rPr>
        <w:t>omers, P. Howlett, K. Jaiswal, E. Sayanna, and M. Forsyth,</w:t>
      </w:r>
      <w:r w:rsidRPr="00D51FCD">
        <w:rPr>
          <w:rFonts w:ascii="Times New Roman" w:hAnsi="Times New Roman" w:cs="Times New Roman"/>
          <w:noProof/>
          <w:sz w:val="24"/>
          <w:szCs w:val="24"/>
        </w:rPr>
        <w:t xml:space="preserve"> A biocompatible ionic liquid as an antiwear additive for biodegradable lubricants. </w:t>
      </w:r>
      <w:r w:rsidRPr="00D51FCD">
        <w:rPr>
          <w:rFonts w:ascii="Times New Roman" w:hAnsi="Times New Roman" w:cs="Times New Roman"/>
          <w:i/>
          <w:iCs/>
          <w:noProof/>
          <w:sz w:val="24"/>
          <w:szCs w:val="24"/>
        </w:rPr>
        <w:t>Tribology International</w:t>
      </w:r>
      <w:r w:rsidR="007C710E" w:rsidRPr="00D51FCD">
        <w:rPr>
          <w:rFonts w:ascii="Times New Roman" w:hAnsi="Times New Roman" w:cs="Times New Roman"/>
          <w:noProof/>
          <w:sz w:val="24"/>
          <w:szCs w:val="24"/>
        </w:rPr>
        <w:t xml:space="preserve">, </w:t>
      </w:r>
      <w:r w:rsidRPr="00D51FCD">
        <w:rPr>
          <w:rFonts w:ascii="Times New Roman" w:hAnsi="Times New Roman" w:cs="Times New Roman"/>
          <w:i/>
          <w:iCs/>
          <w:noProof/>
          <w:sz w:val="24"/>
          <w:szCs w:val="24"/>
        </w:rPr>
        <w:t>77</w:t>
      </w:r>
      <w:r w:rsidRPr="00D51FCD">
        <w:rPr>
          <w:rFonts w:ascii="Times New Roman" w:hAnsi="Times New Roman" w:cs="Times New Roman"/>
          <w:noProof/>
          <w:sz w:val="24"/>
          <w:szCs w:val="24"/>
        </w:rPr>
        <w:t>, 171–177</w:t>
      </w:r>
      <w:r w:rsidR="007C710E" w:rsidRPr="00D51FCD">
        <w:rPr>
          <w:rFonts w:ascii="Times New Roman" w:hAnsi="Times New Roman" w:cs="Times New Roman"/>
          <w:noProof/>
          <w:sz w:val="24"/>
          <w:szCs w:val="24"/>
        </w:rPr>
        <w:t>, 2014</w:t>
      </w:r>
      <w:r w:rsidRPr="00D51FCD">
        <w:rPr>
          <w:rFonts w:ascii="Times New Roman" w:hAnsi="Times New Roman" w:cs="Times New Roman"/>
          <w:noProof/>
          <w:sz w:val="24"/>
          <w:szCs w:val="24"/>
        </w:rPr>
        <w:t>.</w:t>
      </w:r>
    </w:p>
    <w:p w:rsidR="00104A8B" w:rsidRPr="00D51FCD" w:rsidRDefault="00104A8B" w:rsidP="007C710E">
      <w:pPr>
        <w:spacing w:line="240" w:lineRule="auto"/>
        <w:ind w:left="630" w:hanging="630"/>
        <w:jc w:val="both"/>
        <w:rPr>
          <w:rFonts w:ascii="Times New Roman" w:hAnsi="Times New Roman" w:cs="Times New Roman"/>
          <w:noProof/>
          <w:sz w:val="24"/>
          <w:szCs w:val="24"/>
        </w:rPr>
      </w:pPr>
      <w:r w:rsidRPr="00D51FCD">
        <w:rPr>
          <w:rFonts w:ascii="Times New Roman" w:hAnsi="Times New Roman" w:cs="Times New Roman"/>
          <w:noProof/>
          <w:sz w:val="24"/>
          <w:szCs w:val="24"/>
        </w:rPr>
        <w:t xml:space="preserve">[6]     </w:t>
      </w:r>
      <w:r w:rsidR="007C710E" w:rsidRPr="00D51FCD">
        <w:rPr>
          <w:rFonts w:ascii="Times New Roman" w:hAnsi="Times New Roman" w:cs="Times New Roman"/>
          <w:noProof/>
          <w:sz w:val="24"/>
          <w:szCs w:val="24"/>
        </w:rPr>
        <w:t xml:space="preserve">  X. Fan, and L. Wang, </w:t>
      </w:r>
      <w:r w:rsidRPr="00D51FCD">
        <w:rPr>
          <w:rFonts w:ascii="Times New Roman" w:hAnsi="Times New Roman" w:cs="Times New Roman"/>
          <w:noProof/>
          <w:sz w:val="24"/>
          <w:szCs w:val="24"/>
        </w:rPr>
        <w:t xml:space="preserve">Ionic liquids gels with in situ modified multiwall carbon nanotubes towards high-performance lubricants. </w:t>
      </w:r>
      <w:r w:rsidRPr="00D51FCD">
        <w:rPr>
          <w:rFonts w:ascii="Times New Roman" w:hAnsi="Times New Roman" w:cs="Times New Roman"/>
          <w:i/>
          <w:iCs/>
          <w:noProof/>
          <w:sz w:val="24"/>
          <w:szCs w:val="24"/>
        </w:rPr>
        <w:t>Tribiology International</w:t>
      </w:r>
      <w:r w:rsidRPr="00D51FCD">
        <w:rPr>
          <w:rFonts w:ascii="Times New Roman" w:hAnsi="Times New Roman" w:cs="Times New Roman"/>
          <w:noProof/>
          <w:sz w:val="24"/>
          <w:szCs w:val="24"/>
        </w:rPr>
        <w:t xml:space="preserve">, </w:t>
      </w:r>
      <w:r w:rsidRPr="00D51FCD">
        <w:rPr>
          <w:rFonts w:ascii="Times New Roman" w:hAnsi="Times New Roman" w:cs="Times New Roman"/>
          <w:i/>
          <w:iCs/>
          <w:noProof/>
          <w:sz w:val="24"/>
          <w:szCs w:val="24"/>
        </w:rPr>
        <w:t>88</w:t>
      </w:r>
      <w:r w:rsidRPr="00D51FCD">
        <w:rPr>
          <w:rFonts w:ascii="Times New Roman" w:hAnsi="Times New Roman" w:cs="Times New Roman"/>
          <w:noProof/>
          <w:sz w:val="24"/>
          <w:szCs w:val="24"/>
        </w:rPr>
        <w:t>, 179–188</w:t>
      </w:r>
      <w:r w:rsidR="007C710E" w:rsidRPr="00D51FCD">
        <w:rPr>
          <w:rFonts w:ascii="Times New Roman" w:hAnsi="Times New Roman" w:cs="Times New Roman"/>
          <w:noProof/>
          <w:sz w:val="24"/>
          <w:szCs w:val="24"/>
        </w:rPr>
        <w:t>, 2015</w:t>
      </w:r>
      <w:r w:rsidRPr="00D51FCD">
        <w:rPr>
          <w:rFonts w:ascii="Times New Roman" w:hAnsi="Times New Roman" w:cs="Times New Roman"/>
          <w:noProof/>
          <w:sz w:val="24"/>
          <w:szCs w:val="24"/>
        </w:rPr>
        <w:t>.</w:t>
      </w:r>
    </w:p>
    <w:p w:rsidR="00104A8B" w:rsidRPr="00D51FCD" w:rsidRDefault="00104A8B" w:rsidP="007C710E">
      <w:pPr>
        <w:spacing w:line="240" w:lineRule="auto"/>
        <w:ind w:left="630" w:hanging="630"/>
        <w:jc w:val="both"/>
        <w:rPr>
          <w:rFonts w:ascii="Times New Roman" w:hAnsi="Times New Roman" w:cs="Times New Roman"/>
          <w:noProof/>
          <w:sz w:val="24"/>
          <w:szCs w:val="24"/>
        </w:rPr>
      </w:pPr>
      <w:r w:rsidRPr="00D51FCD">
        <w:rPr>
          <w:rFonts w:ascii="Times New Roman" w:hAnsi="Times New Roman" w:cs="Times New Roman"/>
          <w:noProof/>
          <w:sz w:val="24"/>
          <w:szCs w:val="24"/>
        </w:rPr>
        <w:t xml:space="preserve">[7]     </w:t>
      </w:r>
      <w:r w:rsidR="007C710E" w:rsidRPr="00D51FCD">
        <w:rPr>
          <w:rFonts w:ascii="Times New Roman" w:hAnsi="Times New Roman" w:cs="Times New Roman"/>
          <w:noProof/>
          <w:sz w:val="24"/>
          <w:szCs w:val="24"/>
        </w:rPr>
        <w:t xml:space="preserve">M. </w:t>
      </w:r>
      <w:r w:rsidRPr="00D51FCD">
        <w:rPr>
          <w:rFonts w:ascii="Times New Roman" w:hAnsi="Times New Roman" w:cs="Times New Roman"/>
          <w:noProof/>
          <w:sz w:val="24"/>
          <w:szCs w:val="24"/>
        </w:rPr>
        <w:t>A</w:t>
      </w:r>
      <w:r w:rsidR="007C710E" w:rsidRPr="00D51FCD">
        <w:rPr>
          <w:rFonts w:ascii="Times New Roman" w:hAnsi="Times New Roman" w:cs="Times New Roman"/>
          <w:noProof/>
          <w:sz w:val="24"/>
          <w:szCs w:val="24"/>
        </w:rPr>
        <w:t>nand, M. Hadfield, J. L. Viesca, B. Thomas,</w:t>
      </w:r>
      <w:r w:rsidRPr="00D51FCD">
        <w:rPr>
          <w:rFonts w:ascii="Times New Roman" w:hAnsi="Times New Roman" w:cs="Times New Roman"/>
          <w:noProof/>
          <w:sz w:val="24"/>
          <w:szCs w:val="24"/>
        </w:rPr>
        <w:t xml:space="preserve"> Hernán</w:t>
      </w:r>
      <w:r w:rsidR="007C710E" w:rsidRPr="00D51FCD">
        <w:rPr>
          <w:rFonts w:ascii="Times New Roman" w:hAnsi="Times New Roman" w:cs="Times New Roman"/>
          <w:noProof/>
          <w:sz w:val="24"/>
          <w:szCs w:val="24"/>
        </w:rPr>
        <w:t xml:space="preserve">dez Battez,  and S. Austen, </w:t>
      </w:r>
      <w:r w:rsidRPr="00D51FCD">
        <w:rPr>
          <w:rFonts w:ascii="Times New Roman" w:hAnsi="Times New Roman" w:cs="Times New Roman"/>
          <w:noProof/>
          <w:sz w:val="24"/>
          <w:szCs w:val="24"/>
        </w:rPr>
        <w:t xml:space="preserve">Ionic liquids as tribological performance improving additive for in-service and used fully-formulated diesel engine lubricants. </w:t>
      </w:r>
      <w:r w:rsidRPr="00D51FCD">
        <w:rPr>
          <w:rFonts w:ascii="Times New Roman" w:hAnsi="Times New Roman" w:cs="Times New Roman"/>
          <w:i/>
          <w:iCs/>
          <w:noProof/>
          <w:sz w:val="24"/>
          <w:szCs w:val="24"/>
        </w:rPr>
        <w:t>Wear</w:t>
      </w:r>
      <w:r w:rsidRPr="00D51FCD">
        <w:rPr>
          <w:rFonts w:ascii="Times New Roman" w:hAnsi="Times New Roman" w:cs="Times New Roman"/>
          <w:noProof/>
          <w:sz w:val="24"/>
          <w:szCs w:val="24"/>
        </w:rPr>
        <w:t xml:space="preserve">, </w:t>
      </w:r>
      <w:r w:rsidRPr="00D51FCD">
        <w:rPr>
          <w:rFonts w:ascii="Times New Roman" w:hAnsi="Times New Roman" w:cs="Times New Roman"/>
          <w:i/>
          <w:iCs/>
          <w:noProof/>
          <w:sz w:val="24"/>
          <w:szCs w:val="24"/>
        </w:rPr>
        <w:t>334</w:t>
      </w:r>
      <w:r w:rsidRPr="00D51FCD">
        <w:rPr>
          <w:rFonts w:ascii="Times New Roman" w:hAnsi="Times New Roman" w:cs="Times New Roman"/>
          <w:noProof/>
          <w:sz w:val="24"/>
          <w:szCs w:val="24"/>
        </w:rPr>
        <w:t>–</w:t>
      </w:r>
      <w:r w:rsidRPr="00D51FCD">
        <w:rPr>
          <w:rFonts w:ascii="Times New Roman" w:hAnsi="Times New Roman" w:cs="Times New Roman"/>
          <w:i/>
          <w:iCs/>
          <w:noProof/>
          <w:sz w:val="24"/>
          <w:szCs w:val="24"/>
        </w:rPr>
        <w:t>335</w:t>
      </w:r>
      <w:r w:rsidRPr="00D51FCD">
        <w:rPr>
          <w:rFonts w:ascii="Times New Roman" w:hAnsi="Times New Roman" w:cs="Times New Roman"/>
          <w:noProof/>
          <w:sz w:val="24"/>
          <w:szCs w:val="24"/>
        </w:rPr>
        <w:t>, 67–74</w:t>
      </w:r>
      <w:r w:rsidR="007C710E" w:rsidRPr="00D51FCD">
        <w:rPr>
          <w:rFonts w:ascii="Times New Roman" w:hAnsi="Times New Roman" w:cs="Times New Roman"/>
          <w:noProof/>
          <w:sz w:val="24"/>
          <w:szCs w:val="24"/>
        </w:rPr>
        <w:t>, 2015</w:t>
      </w:r>
      <w:r w:rsidRPr="00D51FCD">
        <w:rPr>
          <w:rFonts w:ascii="Times New Roman" w:hAnsi="Times New Roman" w:cs="Times New Roman"/>
          <w:noProof/>
          <w:sz w:val="24"/>
          <w:szCs w:val="24"/>
        </w:rPr>
        <w:t>.</w:t>
      </w:r>
    </w:p>
    <w:p w:rsidR="00104A8B" w:rsidRPr="00D51FCD" w:rsidRDefault="00104A8B" w:rsidP="007C710E">
      <w:pPr>
        <w:spacing w:line="240" w:lineRule="auto"/>
        <w:ind w:left="630" w:hanging="630"/>
        <w:jc w:val="both"/>
        <w:rPr>
          <w:rFonts w:ascii="Times New Roman" w:hAnsi="Times New Roman" w:cs="Times New Roman"/>
          <w:noProof/>
          <w:sz w:val="24"/>
          <w:szCs w:val="24"/>
        </w:rPr>
      </w:pPr>
      <w:r w:rsidRPr="00D51FCD">
        <w:rPr>
          <w:rFonts w:ascii="Times New Roman" w:hAnsi="Times New Roman" w:cs="Times New Roman"/>
          <w:noProof/>
          <w:sz w:val="24"/>
          <w:szCs w:val="24"/>
        </w:rPr>
        <w:t xml:space="preserve">[8]     </w:t>
      </w:r>
      <w:r w:rsidR="0099326C" w:rsidRPr="00D51FCD">
        <w:rPr>
          <w:rFonts w:ascii="Times New Roman" w:hAnsi="Times New Roman" w:cs="Times New Roman"/>
          <w:noProof/>
          <w:sz w:val="24"/>
          <w:szCs w:val="24"/>
        </w:rPr>
        <w:t xml:space="preserve">  </w:t>
      </w:r>
      <w:r w:rsidR="007C710E" w:rsidRPr="00D51FCD">
        <w:rPr>
          <w:rFonts w:ascii="Times New Roman" w:hAnsi="Times New Roman" w:cs="Times New Roman"/>
          <w:noProof/>
          <w:sz w:val="24"/>
          <w:szCs w:val="24"/>
        </w:rPr>
        <w:t>A. García, R. González,  Hernández Battez, J. L Viesca, R. Monge, Fernández-González,  and M. Hadfield, M,</w:t>
      </w:r>
      <w:r w:rsidRPr="00D51FCD">
        <w:rPr>
          <w:rFonts w:ascii="Times New Roman" w:hAnsi="Times New Roman" w:cs="Times New Roman"/>
          <w:noProof/>
          <w:sz w:val="24"/>
          <w:szCs w:val="24"/>
        </w:rPr>
        <w:t xml:space="preserve"> Ionic liquids as a neat lubricant applied to steel-steel contacts. </w:t>
      </w:r>
      <w:r w:rsidRPr="00D51FCD">
        <w:rPr>
          <w:rFonts w:ascii="Times New Roman" w:hAnsi="Times New Roman" w:cs="Times New Roman"/>
          <w:i/>
          <w:iCs/>
          <w:noProof/>
          <w:sz w:val="24"/>
          <w:szCs w:val="24"/>
        </w:rPr>
        <w:t>Tribology International</w:t>
      </w:r>
      <w:r w:rsidRPr="00D51FCD">
        <w:rPr>
          <w:rFonts w:ascii="Times New Roman" w:hAnsi="Times New Roman" w:cs="Times New Roman"/>
          <w:noProof/>
          <w:sz w:val="24"/>
          <w:szCs w:val="24"/>
        </w:rPr>
        <w:t xml:space="preserve">, </w:t>
      </w:r>
      <w:r w:rsidRPr="00D51FCD">
        <w:rPr>
          <w:rFonts w:ascii="Times New Roman" w:hAnsi="Times New Roman" w:cs="Times New Roman"/>
          <w:i/>
          <w:iCs/>
          <w:noProof/>
          <w:sz w:val="24"/>
          <w:szCs w:val="24"/>
        </w:rPr>
        <w:t>72</w:t>
      </w:r>
      <w:r w:rsidRPr="00D51FCD">
        <w:rPr>
          <w:rFonts w:ascii="Times New Roman" w:hAnsi="Times New Roman" w:cs="Times New Roman"/>
          <w:noProof/>
          <w:sz w:val="24"/>
          <w:szCs w:val="24"/>
        </w:rPr>
        <w:t>, 42–50</w:t>
      </w:r>
      <w:r w:rsidR="007C710E" w:rsidRPr="00D51FCD">
        <w:rPr>
          <w:rFonts w:ascii="Times New Roman" w:hAnsi="Times New Roman" w:cs="Times New Roman"/>
          <w:noProof/>
          <w:sz w:val="24"/>
          <w:szCs w:val="24"/>
        </w:rPr>
        <w:t>, 2014</w:t>
      </w:r>
      <w:r w:rsidRPr="00D51FCD">
        <w:rPr>
          <w:rFonts w:ascii="Times New Roman" w:hAnsi="Times New Roman" w:cs="Times New Roman"/>
          <w:noProof/>
          <w:sz w:val="24"/>
          <w:szCs w:val="24"/>
        </w:rPr>
        <w:t>.</w:t>
      </w:r>
    </w:p>
    <w:p w:rsidR="00104A8B" w:rsidRPr="00D51FCD" w:rsidRDefault="00104A8B" w:rsidP="0099326C">
      <w:pPr>
        <w:widowControl w:val="0"/>
        <w:autoSpaceDE w:val="0"/>
        <w:autoSpaceDN w:val="0"/>
        <w:adjustRightInd w:val="0"/>
        <w:spacing w:line="240" w:lineRule="auto"/>
        <w:ind w:left="630" w:hanging="630"/>
        <w:jc w:val="both"/>
        <w:rPr>
          <w:rFonts w:ascii="Times New Roman" w:hAnsi="Times New Roman" w:cs="Times New Roman"/>
          <w:noProof/>
          <w:sz w:val="24"/>
          <w:szCs w:val="24"/>
        </w:rPr>
      </w:pPr>
      <w:r w:rsidRPr="00D51FCD">
        <w:rPr>
          <w:rFonts w:ascii="Times New Roman" w:hAnsi="Times New Roman" w:cs="Times New Roman"/>
          <w:noProof/>
          <w:sz w:val="24"/>
          <w:szCs w:val="24"/>
        </w:rPr>
        <w:t xml:space="preserve">[9]    </w:t>
      </w:r>
      <w:r w:rsidR="007C710E" w:rsidRPr="00D51FCD">
        <w:rPr>
          <w:rFonts w:ascii="Times New Roman" w:hAnsi="Times New Roman" w:cs="Times New Roman"/>
          <w:noProof/>
          <w:sz w:val="24"/>
          <w:szCs w:val="24"/>
        </w:rPr>
        <w:t>Y. Kondo, T.  Koyama, and S. Sasaki,</w:t>
      </w:r>
      <w:r w:rsidRPr="00D51FCD">
        <w:rPr>
          <w:rFonts w:ascii="Times New Roman" w:hAnsi="Times New Roman" w:cs="Times New Roman"/>
          <w:noProof/>
          <w:sz w:val="24"/>
          <w:szCs w:val="24"/>
        </w:rPr>
        <w:t xml:space="preserve"> Tribological Properties of Ionic Liquids, Ionic </w:t>
      </w:r>
      <w:r w:rsidR="007C710E" w:rsidRPr="00D51FCD">
        <w:rPr>
          <w:rFonts w:ascii="Times New Roman" w:hAnsi="Times New Roman" w:cs="Times New Roman"/>
          <w:noProof/>
          <w:sz w:val="24"/>
          <w:szCs w:val="24"/>
        </w:rPr>
        <w:t xml:space="preserve">  </w:t>
      </w:r>
      <w:r w:rsidR="0099326C" w:rsidRPr="00D51FCD">
        <w:rPr>
          <w:rFonts w:ascii="Times New Roman" w:hAnsi="Times New Roman" w:cs="Times New Roman"/>
          <w:noProof/>
          <w:sz w:val="24"/>
          <w:szCs w:val="24"/>
        </w:rPr>
        <w:t xml:space="preserve">   </w:t>
      </w:r>
      <w:r w:rsidRPr="00D51FCD">
        <w:rPr>
          <w:rFonts w:ascii="Times New Roman" w:hAnsi="Times New Roman" w:cs="Times New Roman"/>
          <w:noProof/>
          <w:sz w:val="24"/>
          <w:szCs w:val="24"/>
        </w:rPr>
        <w:t>Liquids - New Aspects for the Future, Dr. Jun-ichi Kadokawa (Ed.), InTech, DOI: 10.5772/5</w:t>
      </w:r>
      <w:r w:rsidR="007C710E" w:rsidRPr="00D51FCD">
        <w:rPr>
          <w:rFonts w:ascii="Times New Roman" w:hAnsi="Times New Roman" w:cs="Times New Roman"/>
          <w:noProof/>
          <w:sz w:val="24"/>
          <w:szCs w:val="24"/>
        </w:rPr>
        <w:t>2595, 2013.</w:t>
      </w:r>
      <w:r w:rsidRPr="00D51FCD">
        <w:rPr>
          <w:rFonts w:ascii="Times New Roman" w:hAnsi="Times New Roman" w:cs="Times New Roman"/>
          <w:noProof/>
          <w:sz w:val="24"/>
          <w:szCs w:val="24"/>
        </w:rPr>
        <w:t xml:space="preserve"> </w:t>
      </w:r>
    </w:p>
    <w:p w:rsidR="00104A8B" w:rsidRPr="00D51FCD" w:rsidRDefault="00104A8B" w:rsidP="0099326C">
      <w:pPr>
        <w:widowControl w:val="0"/>
        <w:autoSpaceDE w:val="0"/>
        <w:autoSpaceDN w:val="0"/>
        <w:adjustRightInd w:val="0"/>
        <w:spacing w:line="240" w:lineRule="auto"/>
        <w:ind w:left="630" w:hanging="630"/>
        <w:jc w:val="both"/>
        <w:rPr>
          <w:rFonts w:ascii="Times New Roman" w:hAnsi="Times New Roman" w:cs="Times New Roman"/>
          <w:noProof/>
          <w:sz w:val="24"/>
          <w:szCs w:val="24"/>
        </w:rPr>
      </w:pPr>
      <w:r w:rsidRPr="00D51FCD">
        <w:rPr>
          <w:rFonts w:ascii="Times New Roman" w:hAnsi="Times New Roman" w:cs="Times New Roman"/>
          <w:noProof/>
          <w:sz w:val="24"/>
          <w:szCs w:val="24"/>
        </w:rPr>
        <w:t>[10]</w:t>
      </w:r>
      <w:r w:rsidR="0099326C" w:rsidRPr="00D51FCD">
        <w:rPr>
          <w:rFonts w:ascii="Times New Roman" w:hAnsi="Times New Roman" w:cs="Times New Roman"/>
          <w:noProof/>
          <w:sz w:val="24"/>
          <w:szCs w:val="24"/>
        </w:rPr>
        <w:t xml:space="preserve">  </w:t>
      </w:r>
      <w:r w:rsidR="007C710E" w:rsidRPr="00D51FCD">
        <w:rPr>
          <w:rFonts w:ascii="Times New Roman" w:hAnsi="Times New Roman" w:cs="Times New Roman"/>
          <w:noProof/>
          <w:sz w:val="24"/>
          <w:szCs w:val="24"/>
        </w:rPr>
        <w:t xml:space="preserve">M. Q. </w:t>
      </w:r>
      <w:r w:rsidRPr="00D51FCD">
        <w:rPr>
          <w:rFonts w:ascii="Times New Roman" w:hAnsi="Times New Roman" w:cs="Times New Roman"/>
          <w:noProof/>
          <w:sz w:val="24"/>
          <w:szCs w:val="24"/>
        </w:rPr>
        <w:t xml:space="preserve"> </w:t>
      </w:r>
      <w:r w:rsidR="007C710E" w:rsidRPr="00D51FCD">
        <w:rPr>
          <w:rFonts w:ascii="Times New Roman" w:hAnsi="Times New Roman" w:cs="Times New Roman"/>
          <w:noProof/>
          <w:sz w:val="24"/>
          <w:szCs w:val="24"/>
        </w:rPr>
        <w:t xml:space="preserve">Pham, H.S. Yoon, V. Khare, and S. H. Ahn, </w:t>
      </w:r>
      <w:r w:rsidRPr="00D51FCD">
        <w:rPr>
          <w:rFonts w:ascii="Times New Roman" w:hAnsi="Times New Roman" w:cs="Times New Roman"/>
          <w:noProof/>
          <w:sz w:val="24"/>
          <w:szCs w:val="24"/>
        </w:rPr>
        <w:t xml:space="preserve">Evaluation of ionic liquids as lubricants in micro milling - Process capability and sustainability. </w:t>
      </w:r>
      <w:r w:rsidRPr="00D51FCD">
        <w:rPr>
          <w:rFonts w:ascii="Times New Roman" w:hAnsi="Times New Roman" w:cs="Times New Roman"/>
          <w:i/>
          <w:iCs/>
          <w:noProof/>
          <w:sz w:val="24"/>
          <w:szCs w:val="24"/>
        </w:rPr>
        <w:t>Journal of Cleaner Production</w:t>
      </w:r>
      <w:r w:rsidRPr="00D51FCD">
        <w:rPr>
          <w:rFonts w:ascii="Times New Roman" w:hAnsi="Times New Roman" w:cs="Times New Roman"/>
          <w:noProof/>
          <w:sz w:val="24"/>
          <w:szCs w:val="24"/>
        </w:rPr>
        <w:t xml:space="preserve">, </w:t>
      </w:r>
      <w:r w:rsidRPr="00D51FCD">
        <w:rPr>
          <w:rFonts w:ascii="Times New Roman" w:hAnsi="Times New Roman" w:cs="Times New Roman"/>
          <w:i/>
          <w:iCs/>
          <w:noProof/>
          <w:sz w:val="24"/>
          <w:szCs w:val="24"/>
        </w:rPr>
        <w:t>76</w:t>
      </w:r>
      <w:r w:rsidRPr="00D51FCD">
        <w:rPr>
          <w:rFonts w:ascii="Times New Roman" w:hAnsi="Times New Roman" w:cs="Times New Roman"/>
          <w:noProof/>
          <w:sz w:val="24"/>
          <w:szCs w:val="24"/>
        </w:rPr>
        <w:t>, 167–173</w:t>
      </w:r>
      <w:r w:rsidR="007C710E" w:rsidRPr="00D51FCD">
        <w:rPr>
          <w:rFonts w:ascii="Times New Roman" w:hAnsi="Times New Roman" w:cs="Times New Roman"/>
          <w:noProof/>
          <w:sz w:val="24"/>
          <w:szCs w:val="24"/>
        </w:rPr>
        <w:t>, 2014</w:t>
      </w:r>
      <w:r w:rsidRPr="00D51FCD">
        <w:rPr>
          <w:rFonts w:ascii="Times New Roman" w:hAnsi="Times New Roman" w:cs="Times New Roman"/>
          <w:noProof/>
          <w:sz w:val="24"/>
          <w:szCs w:val="24"/>
        </w:rPr>
        <w:t>.</w:t>
      </w:r>
    </w:p>
    <w:p w:rsidR="005160F4" w:rsidRPr="00D51FCD" w:rsidRDefault="004C4457"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 xml:space="preserve"> [11</w:t>
      </w:r>
      <w:r w:rsidR="005160F4" w:rsidRPr="00D51FCD">
        <w:rPr>
          <w:rFonts w:ascii="Times New Roman" w:hAnsi="Times New Roman" w:cs="Times New Roman"/>
          <w:noProof/>
          <w:sz w:val="24"/>
          <w:szCs w:val="24"/>
        </w:rPr>
        <w:t>]</w:t>
      </w:r>
      <w:r w:rsidR="005160F4" w:rsidRPr="00D51FCD">
        <w:rPr>
          <w:rFonts w:ascii="Times New Roman" w:hAnsi="Times New Roman" w:cs="Times New Roman"/>
          <w:noProof/>
          <w:sz w:val="24"/>
          <w:szCs w:val="24"/>
        </w:rPr>
        <w:tab/>
        <w:t xml:space="preserve">B. Tang, H. Zhang, and K. H. Row, “Application of deep eutectic solvents in the extraction and separation of target compounds from various samples,” </w:t>
      </w:r>
      <w:r w:rsidR="005160F4" w:rsidRPr="00D51FCD">
        <w:rPr>
          <w:rFonts w:ascii="Times New Roman" w:hAnsi="Times New Roman" w:cs="Times New Roman"/>
          <w:i/>
          <w:iCs/>
          <w:noProof/>
          <w:sz w:val="24"/>
          <w:szCs w:val="24"/>
        </w:rPr>
        <w:t>J. Sep. Sci.</w:t>
      </w:r>
      <w:r w:rsidR="005160F4" w:rsidRPr="00D51FCD">
        <w:rPr>
          <w:rFonts w:ascii="Times New Roman" w:hAnsi="Times New Roman" w:cs="Times New Roman"/>
          <w:noProof/>
          <w:sz w:val="24"/>
          <w:szCs w:val="24"/>
        </w:rPr>
        <w:t>, vol. 38, pp. 1053–1064, 2015.</w:t>
      </w:r>
    </w:p>
    <w:p w:rsidR="005160F4" w:rsidRPr="00D51FCD" w:rsidRDefault="004C4457"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[12</w:t>
      </w:r>
      <w:r w:rsidR="005160F4" w:rsidRPr="00D51FCD">
        <w:rPr>
          <w:rFonts w:ascii="Times New Roman" w:hAnsi="Times New Roman" w:cs="Times New Roman"/>
          <w:noProof/>
          <w:sz w:val="24"/>
          <w:szCs w:val="24"/>
        </w:rPr>
        <w:t>]</w:t>
      </w:r>
      <w:r w:rsidR="005160F4" w:rsidRPr="00D51FCD">
        <w:rPr>
          <w:rFonts w:ascii="Times New Roman" w:hAnsi="Times New Roman" w:cs="Times New Roman"/>
          <w:noProof/>
          <w:sz w:val="24"/>
          <w:szCs w:val="24"/>
        </w:rPr>
        <w:tab/>
        <w:t xml:space="preserve">Y. Y. Wu, W. C. Tsui, and T. C. Liu, “Experimental analysis of tribological properties of lubricating oils with nanoparticle additives,” </w:t>
      </w:r>
      <w:r w:rsidR="005160F4" w:rsidRPr="00D51FCD">
        <w:rPr>
          <w:rFonts w:ascii="Times New Roman" w:hAnsi="Times New Roman" w:cs="Times New Roman"/>
          <w:i/>
          <w:iCs/>
          <w:noProof/>
          <w:sz w:val="24"/>
          <w:szCs w:val="24"/>
        </w:rPr>
        <w:t>Wear</w:t>
      </w:r>
      <w:r w:rsidR="005160F4" w:rsidRPr="00D51FCD">
        <w:rPr>
          <w:rFonts w:ascii="Times New Roman" w:hAnsi="Times New Roman" w:cs="Times New Roman"/>
          <w:noProof/>
          <w:sz w:val="24"/>
          <w:szCs w:val="24"/>
        </w:rPr>
        <w:t>, vol. 262, no. 7–8, pp. 819–825, 2007.</w:t>
      </w:r>
    </w:p>
    <w:p w:rsidR="005160F4" w:rsidRPr="00D51FCD" w:rsidRDefault="004C4457"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[13</w:t>
      </w:r>
      <w:r w:rsidR="005160F4" w:rsidRPr="00D51FCD">
        <w:rPr>
          <w:rFonts w:ascii="Times New Roman" w:hAnsi="Times New Roman" w:cs="Times New Roman"/>
          <w:noProof/>
          <w:sz w:val="24"/>
          <w:szCs w:val="24"/>
        </w:rPr>
        <w:t>]</w:t>
      </w:r>
      <w:r w:rsidR="005160F4" w:rsidRPr="00D51FCD">
        <w:rPr>
          <w:rFonts w:ascii="Times New Roman" w:hAnsi="Times New Roman" w:cs="Times New Roman"/>
          <w:noProof/>
          <w:sz w:val="24"/>
          <w:szCs w:val="24"/>
        </w:rPr>
        <w:tab/>
        <w:t xml:space="preserve">T. Luo, X. Wei, H. Zhao, G. Cai, and X. Zheng, “Tribology properties of Al2O3/TiO2 nanocomposites as lubricant additives,” </w:t>
      </w:r>
      <w:r w:rsidR="005160F4" w:rsidRPr="00D51FCD">
        <w:rPr>
          <w:rFonts w:ascii="Times New Roman" w:hAnsi="Times New Roman" w:cs="Times New Roman"/>
          <w:i/>
          <w:iCs/>
          <w:noProof/>
          <w:sz w:val="24"/>
          <w:szCs w:val="24"/>
        </w:rPr>
        <w:t>Ceram. Int.</w:t>
      </w:r>
      <w:r w:rsidR="005160F4" w:rsidRPr="00D51FCD">
        <w:rPr>
          <w:rFonts w:ascii="Times New Roman" w:hAnsi="Times New Roman" w:cs="Times New Roman"/>
          <w:noProof/>
          <w:sz w:val="24"/>
          <w:szCs w:val="24"/>
        </w:rPr>
        <w:t>, vol. 40, no. 7, pp. 10103–10109, 2014.</w:t>
      </w:r>
    </w:p>
    <w:p w:rsidR="005160F4" w:rsidRPr="00D51FCD" w:rsidRDefault="004C4457"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[14</w:t>
      </w:r>
      <w:r w:rsidR="005160F4" w:rsidRPr="00D51FCD">
        <w:rPr>
          <w:rFonts w:ascii="Times New Roman" w:hAnsi="Times New Roman" w:cs="Times New Roman"/>
          <w:noProof/>
          <w:sz w:val="24"/>
          <w:szCs w:val="24"/>
        </w:rPr>
        <w:t>]</w:t>
      </w:r>
      <w:r w:rsidR="005160F4" w:rsidRPr="00D51FCD">
        <w:rPr>
          <w:rFonts w:ascii="Times New Roman" w:hAnsi="Times New Roman" w:cs="Times New Roman"/>
          <w:noProof/>
          <w:sz w:val="24"/>
          <w:szCs w:val="24"/>
        </w:rPr>
        <w:tab/>
        <w:t xml:space="preserve">K. Lee, Y. Hwang, S. Cheong, L. Kwon, S. Kim, and J. Lee, “Performance evaluation of nano-lubricants of fullerene nanoparticles in refrigeration mineral oil,” </w:t>
      </w:r>
      <w:r w:rsidR="005160F4" w:rsidRPr="00D51FCD">
        <w:rPr>
          <w:rFonts w:ascii="Times New Roman" w:hAnsi="Times New Roman" w:cs="Times New Roman"/>
          <w:i/>
          <w:iCs/>
          <w:noProof/>
          <w:sz w:val="24"/>
          <w:szCs w:val="24"/>
        </w:rPr>
        <w:t>Curr. Appl. Phys.</w:t>
      </w:r>
      <w:r w:rsidR="005160F4" w:rsidRPr="00D51FCD">
        <w:rPr>
          <w:rFonts w:ascii="Times New Roman" w:hAnsi="Times New Roman" w:cs="Times New Roman"/>
          <w:noProof/>
          <w:sz w:val="24"/>
          <w:szCs w:val="24"/>
        </w:rPr>
        <w:t>, vol. 9, no. 2 SUPPL., pp. e128–e131, 2009.</w:t>
      </w:r>
    </w:p>
    <w:p w:rsidR="004C4457" w:rsidRPr="00D51FCD" w:rsidRDefault="004C4457" w:rsidP="003C48E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51FCD">
        <w:rPr>
          <w:rFonts w:ascii="Times New Roman" w:hAnsi="Times New Roman" w:cs="Times New Roman"/>
          <w:noProof/>
          <w:sz w:val="24"/>
          <w:szCs w:val="24"/>
        </w:rPr>
        <w:lastRenderedPageBreak/>
        <w:t xml:space="preserve">[15]    </w:t>
      </w:r>
      <w:r w:rsidRPr="00D51FCD">
        <w:rPr>
          <w:rFonts w:ascii="Times New Roman" w:hAnsi="Times New Roman" w:cs="Times New Roman"/>
          <w:noProof/>
          <w:sz w:val="24"/>
          <w:szCs w:val="24"/>
        </w:rPr>
        <w:t xml:space="preserve">Ko, G. W., Heo, K., Lee, K., &amp; Choi, M. (2007). Thermal and Flow Characteristics of Carbon Nanotube Nanofluids. </w:t>
      </w:r>
      <w:r w:rsidRPr="00D51FCD">
        <w:rPr>
          <w:rFonts w:ascii="Times New Roman" w:hAnsi="Times New Roman" w:cs="Times New Roman"/>
          <w:i/>
          <w:iCs/>
          <w:noProof/>
          <w:sz w:val="24"/>
          <w:szCs w:val="24"/>
        </w:rPr>
        <w:t>International Congress for Particle Technology</w:t>
      </w:r>
      <w:r w:rsidRPr="00D51FCD">
        <w:rPr>
          <w:rFonts w:ascii="Times New Roman" w:hAnsi="Times New Roman" w:cs="Times New Roman"/>
          <w:noProof/>
          <w:sz w:val="24"/>
          <w:szCs w:val="24"/>
        </w:rPr>
        <w:t xml:space="preserve">, </w:t>
      </w:r>
      <w:r w:rsidRPr="00D51FCD">
        <w:rPr>
          <w:rFonts w:ascii="Times New Roman" w:hAnsi="Times New Roman" w:cs="Times New Roman"/>
          <w:i/>
          <w:noProof/>
          <w:sz w:val="24"/>
          <w:szCs w:val="24"/>
        </w:rPr>
        <w:t>Partec,</w:t>
      </w:r>
      <w:r w:rsidRPr="00D51FCD">
        <w:rPr>
          <w:rFonts w:ascii="Times New Roman" w:hAnsi="Times New Roman" w:cs="Times New Roman"/>
          <w:noProof/>
          <w:sz w:val="24"/>
          <w:szCs w:val="24"/>
        </w:rPr>
        <w:t xml:space="preserve"> 151-742.</w:t>
      </w:r>
    </w:p>
    <w:p w:rsidR="004C4457" w:rsidRPr="00D51FCD" w:rsidRDefault="004C4457" w:rsidP="003C48EF">
      <w:pPr>
        <w:widowControl w:val="0"/>
        <w:autoSpaceDE w:val="0"/>
        <w:autoSpaceDN w:val="0"/>
        <w:adjustRightInd w:val="0"/>
        <w:spacing w:line="240" w:lineRule="auto"/>
        <w:ind w:left="480" w:hanging="480"/>
        <w:jc w:val="both"/>
        <w:rPr>
          <w:rFonts w:ascii="Times New Roman" w:hAnsi="Times New Roman" w:cs="Times New Roman"/>
          <w:color w:val="000000"/>
          <w:sz w:val="24"/>
          <w:szCs w:val="24"/>
          <w:shd w:val="clear" w:color="auto" w:fill="FFFFFF"/>
        </w:rPr>
      </w:pPr>
      <w:r w:rsidRPr="00D51FCD">
        <w:rPr>
          <w:rFonts w:ascii="Times New Roman" w:hAnsi="Times New Roman" w:cs="Times New Roman"/>
          <w:color w:val="000000"/>
          <w:sz w:val="24"/>
          <w:szCs w:val="24"/>
          <w:shd w:val="clear" w:color="auto" w:fill="FFFFFF"/>
        </w:rPr>
        <w:t xml:space="preserve">[16]    </w:t>
      </w:r>
      <w:r w:rsidRPr="00D51FCD">
        <w:rPr>
          <w:rFonts w:ascii="Times New Roman" w:hAnsi="Times New Roman" w:cs="Times New Roman"/>
          <w:color w:val="000000"/>
          <w:sz w:val="24"/>
          <w:szCs w:val="24"/>
          <w:shd w:val="clear" w:color="auto" w:fill="FFFFFF"/>
        </w:rPr>
        <w:t>Joly-Pottuz, L. and Ohmae, N. (2008) Carbon-Based Nanolubricants, in Nanolubricants (eds J. M. Martin and N. Ohmae), John Wiley &amp; Sons, Ltd, Chichester, UK.</w:t>
      </w:r>
    </w:p>
    <w:p w:rsidR="004C4457" w:rsidRPr="00D51FCD" w:rsidRDefault="004C4457" w:rsidP="0099326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51FCD">
        <w:rPr>
          <w:rFonts w:ascii="Times New Roman" w:hAnsi="Times New Roman" w:cs="Times New Roman"/>
          <w:noProof/>
          <w:sz w:val="24"/>
          <w:szCs w:val="24"/>
        </w:rPr>
        <w:t xml:space="preserve">[17]     </w:t>
      </w:r>
      <w:r w:rsidRPr="00D51FCD">
        <w:rPr>
          <w:rFonts w:ascii="Times New Roman" w:hAnsi="Times New Roman" w:cs="Times New Roman"/>
          <w:noProof/>
          <w:sz w:val="24"/>
          <w:szCs w:val="24"/>
        </w:rPr>
        <w:t>Luo, T., Wei, X., Zhao, H., Cai, G., &amp; Zheng, X. (2014). Tribology properties of Al</w:t>
      </w:r>
      <w:r w:rsidRPr="00D51FCD">
        <w:rPr>
          <w:rFonts w:ascii="Times New Roman" w:hAnsi="Times New Roman" w:cs="Times New Roman"/>
          <w:noProof/>
          <w:sz w:val="24"/>
          <w:szCs w:val="24"/>
          <w:vertAlign w:val="subscript"/>
        </w:rPr>
        <w:t>2</w:t>
      </w:r>
      <w:r w:rsidRPr="00D51FCD">
        <w:rPr>
          <w:rFonts w:ascii="Times New Roman" w:hAnsi="Times New Roman" w:cs="Times New Roman"/>
          <w:noProof/>
          <w:sz w:val="24"/>
          <w:szCs w:val="24"/>
        </w:rPr>
        <w:t>O</w:t>
      </w:r>
      <w:r w:rsidRPr="00D51FCD">
        <w:rPr>
          <w:rFonts w:ascii="Times New Roman" w:hAnsi="Times New Roman" w:cs="Times New Roman"/>
          <w:noProof/>
          <w:sz w:val="24"/>
          <w:szCs w:val="24"/>
          <w:vertAlign w:val="subscript"/>
        </w:rPr>
        <w:t>3</w:t>
      </w:r>
      <w:r w:rsidRPr="00D51FCD">
        <w:rPr>
          <w:rFonts w:ascii="Times New Roman" w:hAnsi="Times New Roman" w:cs="Times New Roman"/>
          <w:noProof/>
          <w:sz w:val="24"/>
          <w:szCs w:val="24"/>
        </w:rPr>
        <w:t>/TiO</w:t>
      </w:r>
      <w:r w:rsidRPr="00D51FCD">
        <w:rPr>
          <w:rFonts w:ascii="Times New Roman" w:hAnsi="Times New Roman" w:cs="Times New Roman"/>
          <w:noProof/>
          <w:sz w:val="24"/>
          <w:szCs w:val="24"/>
          <w:vertAlign w:val="subscript"/>
        </w:rPr>
        <w:t>2</w:t>
      </w:r>
      <w:r w:rsidRPr="00D51FCD">
        <w:rPr>
          <w:rFonts w:ascii="Times New Roman" w:hAnsi="Times New Roman" w:cs="Times New Roman"/>
          <w:noProof/>
          <w:sz w:val="24"/>
          <w:szCs w:val="24"/>
        </w:rPr>
        <w:t xml:space="preserve"> nanocomposites as lubricant additives. </w:t>
      </w:r>
      <w:r w:rsidRPr="00D51FCD">
        <w:rPr>
          <w:rFonts w:ascii="Times New Roman" w:hAnsi="Times New Roman" w:cs="Times New Roman"/>
          <w:i/>
          <w:iCs/>
          <w:noProof/>
          <w:sz w:val="24"/>
          <w:szCs w:val="24"/>
        </w:rPr>
        <w:t>Ceramics International</w:t>
      </w:r>
      <w:r w:rsidRPr="00D51FCD">
        <w:rPr>
          <w:rFonts w:ascii="Times New Roman" w:hAnsi="Times New Roman" w:cs="Times New Roman"/>
          <w:noProof/>
          <w:sz w:val="24"/>
          <w:szCs w:val="24"/>
        </w:rPr>
        <w:t xml:space="preserve">, </w:t>
      </w:r>
      <w:r w:rsidRPr="00D51FCD">
        <w:rPr>
          <w:rFonts w:ascii="Times New Roman" w:hAnsi="Times New Roman" w:cs="Times New Roman"/>
          <w:i/>
          <w:iCs/>
          <w:noProof/>
          <w:sz w:val="24"/>
          <w:szCs w:val="24"/>
        </w:rPr>
        <w:t>40</w:t>
      </w:r>
      <w:r w:rsidRPr="00D51FCD">
        <w:rPr>
          <w:rFonts w:ascii="Times New Roman" w:hAnsi="Times New Roman" w:cs="Times New Roman"/>
          <w:noProof/>
          <w:sz w:val="24"/>
          <w:szCs w:val="24"/>
        </w:rPr>
        <w:t>(7), 10103–10109.</w:t>
      </w:r>
    </w:p>
    <w:p w:rsidR="005160F4" w:rsidRPr="00D51FCD" w:rsidRDefault="0099326C"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 xml:space="preserve"> </w:t>
      </w:r>
      <w:r w:rsidR="008859B9" w:rsidRPr="00D51FCD">
        <w:rPr>
          <w:rFonts w:ascii="Times New Roman" w:hAnsi="Times New Roman" w:cs="Times New Roman"/>
          <w:noProof/>
          <w:sz w:val="24"/>
          <w:szCs w:val="24"/>
        </w:rPr>
        <w:t>[18</w:t>
      </w:r>
      <w:r w:rsidR="005160F4" w:rsidRPr="00D51FCD">
        <w:rPr>
          <w:rFonts w:ascii="Times New Roman" w:hAnsi="Times New Roman" w:cs="Times New Roman"/>
          <w:noProof/>
          <w:sz w:val="24"/>
          <w:szCs w:val="24"/>
        </w:rPr>
        <w:t>]</w:t>
      </w:r>
      <w:r w:rsidR="005160F4" w:rsidRPr="00D51FCD">
        <w:rPr>
          <w:rFonts w:ascii="Times New Roman" w:hAnsi="Times New Roman" w:cs="Times New Roman"/>
          <w:noProof/>
          <w:sz w:val="24"/>
          <w:szCs w:val="24"/>
        </w:rPr>
        <w:tab/>
        <w:t xml:space="preserve">W. Rashmi, M. Khalid, S. S. Ong, and R. Saidur, “Preparation, thermo-physical properties and heat transfer enhancement of nanofluids,” </w:t>
      </w:r>
      <w:r w:rsidR="005160F4" w:rsidRPr="00D51FCD">
        <w:rPr>
          <w:rFonts w:ascii="Times New Roman" w:hAnsi="Times New Roman" w:cs="Times New Roman"/>
          <w:i/>
          <w:iCs/>
          <w:noProof/>
          <w:sz w:val="24"/>
          <w:szCs w:val="24"/>
        </w:rPr>
        <w:t>Mater. Res. Express</w:t>
      </w:r>
      <w:r w:rsidR="005160F4" w:rsidRPr="00D51FCD">
        <w:rPr>
          <w:rFonts w:ascii="Times New Roman" w:hAnsi="Times New Roman" w:cs="Times New Roman"/>
          <w:noProof/>
          <w:sz w:val="24"/>
          <w:szCs w:val="24"/>
        </w:rPr>
        <w:t>, vol. 1, no. 3, p. 32001, 2014.</w:t>
      </w:r>
    </w:p>
    <w:p w:rsidR="00B025DE" w:rsidRPr="00D51FCD" w:rsidRDefault="00B57B41"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[19]</w:t>
      </w:r>
      <w:r w:rsidR="00B025DE" w:rsidRPr="00D51FCD">
        <w:rPr>
          <w:rFonts w:ascii="Times New Roman" w:hAnsi="Times New Roman" w:cs="Times New Roman"/>
          <w:noProof/>
          <w:sz w:val="24"/>
          <w:szCs w:val="24"/>
        </w:rPr>
        <w:t xml:space="preserve">    E. L. Smith, A. P. Abbott, and K. S. Ryder, “Deep Eutectic Solvents (DESs) and Their Applications,” </w:t>
      </w:r>
      <w:r w:rsidR="00B025DE" w:rsidRPr="00D51FCD">
        <w:rPr>
          <w:rFonts w:ascii="Times New Roman" w:hAnsi="Times New Roman" w:cs="Times New Roman"/>
          <w:i/>
          <w:iCs/>
          <w:noProof/>
          <w:sz w:val="24"/>
          <w:szCs w:val="24"/>
        </w:rPr>
        <w:t>Chem. Rev.</w:t>
      </w:r>
      <w:r w:rsidR="00B025DE" w:rsidRPr="00D51FCD">
        <w:rPr>
          <w:rFonts w:ascii="Times New Roman" w:hAnsi="Times New Roman" w:cs="Times New Roman"/>
          <w:noProof/>
          <w:sz w:val="24"/>
          <w:szCs w:val="24"/>
        </w:rPr>
        <w:t>, vol. 114, no. 21, pp. 11060–11082, 2014.</w:t>
      </w:r>
    </w:p>
    <w:p w:rsidR="00B025DE" w:rsidRPr="00D51FCD" w:rsidRDefault="00B025DE"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[20]</w:t>
      </w:r>
      <w:r w:rsidRPr="00D51FCD">
        <w:rPr>
          <w:rFonts w:ascii="Times New Roman" w:hAnsi="Times New Roman" w:cs="Times New Roman"/>
          <w:noProof/>
          <w:sz w:val="24"/>
          <w:szCs w:val="24"/>
        </w:rPr>
        <w:tab/>
        <w:t xml:space="preserve">Y. Dai, J. Van Spronsen, G. J. Witkamp, R. Verpoorte, and Y. H. Choi, “Ionic liquids and deep eutectic solvents in natural products research: Mixtures of solids as extraction solvents,” </w:t>
      </w:r>
      <w:r w:rsidRPr="00D51FCD">
        <w:rPr>
          <w:rFonts w:ascii="Times New Roman" w:hAnsi="Times New Roman" w:cs="Times New Roman"/>
          <w:i/>
          <w:iCs/>
          <w:noProof/>
          <w:sz w:val="24"/>
          <w:szCs w:val="24"/>
        </w:rPr>
        <w:t>J. Nat. Prod.</w:t>
      </w:r>
      <w:r w:rsidRPr="00D51FCD">
        <w:rPr>
          <w:rFonts w:ascii="Times New Roman" w:hAnsi="Times New Roman" w:cs="Times New Roman"/>
          <w:noProof/>
          <w:sz w:val="24"/>
          <w:szCs w:val="24"/>
        </w:rPr>
        <w:t>, vol. 76, no. 11, pp. 2162–2173, 2013.</w:t>
      </w:r>
    </w:p>
    <w:p w:rsidR="00B025DE" w:rsidRPr="00D51FCD" w:rsidRDefault="00B025DE"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[21]</w:t>
      </w:r>
      <w:r w:rsidRPr="00D51FCD">
        <w:rPr>
          <w:rFonts w:ascii="Times New Roman" w:hAnsi="Times New Roman" w:cs="Times New Roman"/>
          <w:noProof/>
          <w:sz w:val="24"/>
          <w:szCs w:val="24"/>
        </w:rPr>
        <w:tab/>
        <w:t xml:space="preserve">G. Garcia, S. Aparicio, R. Ullah, and M. Atilhan, “Deep Eutectic Solvents: Physicochemical Properties and Gas Separation Applications,” </w:t>
      </w:r>
      <w:r w:rsidRPr="00D51FCD">
        <w:rPr>
          <w:rFonts w:ascii="Times New Roman" w:hAnsi="Times New Roman" w:cs="Times New Roman"/>
          <w:i/>
          <w:iCs/>
          <w:noProof/>
          <w:sz w:val="24"/>
          <w:szCs w:val="24"/>
        </w:rPr>
        <w:t>Energy &amp; Fuels</w:t>
      </w:r>
      <w:r w:rsidRPr="00D51FCD">
        <w:rPr>
          <w:rFonts w:ascii="Times New Roman" w:hAnsi="Times New Roman" w:cs="Times New Roman"/>
          <w:noProof/>
          <w:sz w:val="24"/>
          <w:szCs w:val="24"/>
        </w:rPr>
        <w:t>, vol. 29, pp. 2616–2644, 2015.</w:t>
      </w:r>
    </w:p>
    <w:p w:rsidR="00B57B41" w:rsidRPr="00D51FCD" w:rsidRDefault="00B57B41"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[22]</w:t>
      </w:r>
      <w:r w:rsidRPr="00D51FCD">
        <w:rPr>
          <w:rFonts w:ascii="Times New Roman" w:hAnsi="Times New Roman" w:cs="Times New Roman"/>
          <w:noProof/>
          <w:sz w:val="24"/>
          <w:szCs w:val="24"/>
        </w:rPr>
        <w:tab/>
        <w:t xml:space="preserve">B. Lamas, B. Abreu, A. Fonseca, N. Martins, and M. Oliveira, “Assessing colloidal stability of long term MWCNT based nanofluids,” </w:t>
      </w:r>
      <w:r w:rsidRPr="00D51FCD">
        <w:rPr>
          <w:rFonts w:ascii="Times New Roman" w:hAnsi="Times New Roman" w:cs="Times New Roman"/>
          <w:i/>
          <w:iCs/>
          <w:noProof/>
          <w:sz w:val="24"/>
          <w:szCs w:val="24"/>
        </w:rPr>
        <w:t>J. Colloid Interface Sci.</w:t>
      </w:r>
      <w:r w:rsidRPr="00D51FCD">
        <w:rPr>
          <w:rFonts w:ascii="Times New Roman" w:hAnsi="Times New Roman" w:cs="Times New Roman"/>
          <w:noProof/>
          <w:sz w:val="24"/>
          <w:szCs w:val="24"/>
        </w:rPr>
        <w:t>, vol. 381, no. 1, pp. 17–23, 2012.</w:t>
      </w:r>
    </w:p>
    <w:p w:rsidR="005160F4" w:rsidRPr="00D51FCD" w:rsidRDefault="003C48EF"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[23</w:t>
      </w:r>
      <w:r w:rsidR="005160F4" w:rsidRPr="00D51FCD">
        <w:rPr>
          <w:rFonts w:ascii="Times New Roman" w:hAnsi="Times New Roman" w:cs="Times New Roman"/>
          <w:noProof/>
          <w:sz w:val="24"/>
          <w:szCs w:val="24"/>
        </w:rPr>
        <w:t>]</w:t>
      </w:r>
      <w:r w:rsidR="005160F4" w:rsidRPr="00D51FCD">
        <w:rPr>
          <w:rFonts w:ascii="Times New Roman" w:hAnsi="Times New Roman" w:cs="Times New Roman"/>
          <w:noProof/>
          <w:sz w:val="24"/>
          <w:szCs w:val="24"/>
        </w:rPr>
        <w:tab/>
        <w:t xml:space="preserve">R. B. Leron, D. S. H. Wong, and M.-H. Li, “Densities of a deep eutectic solvent based on choline chloride and glycerol and its aqueous mixtures at elevated pressures,” </w:t>
      </w:r>
      <w:r w:rsidR="005160F4" w:rsidRPr="00D51FCD">
        <w:rPr>
          <w:rFonts w:ascii="Times New Roman" w:hAnsi="Times New Roman" w:cs="Times New Roman"/>
          <w:i/>
          <w:iCs/>
          <w:noProof/>
          <w:sz w:val="24"/>
          <w:szCs w:val="24"/>
        </w:rPr>
        <w:t>Fluid Phase Equilib.</w:t>
      </w:r>
      <w:r w:rsidR="005160F4" w:rsidRPr="00D51FCD">
        <w:rPr>
          <w:rFonts w:ascii="Times New Roman" w:hAnsi="Times New Roman" w:cs="Times New Roman"/>
          <w:noProof/>
          <w:sz w:val="24"/>
          <w:szCs w:val="24"/>
        </w:rPr>
        <w:t>, vol. 335, pp. 32–38, 2012.</w:t>
      </w:r>
    </w:p>
    <w:p w:rsidR="005160F4" w:rsidRPr="00D51FCD" w:rsidRDefault="003C48EF"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[24</w:t>
      </w:r>
      <w:r w:rsidR="005160F4" w:rsidRPr="00D51FCD">
        <w:rPr>
          <w:rFonts w:ascii="Times New Roman" w:hAnsi="Times New Roman" w:cs="Times New Roman"/>
          <w:noProof/>
          <w:sz w:val="24"/>
          <w:szCs w:val="24"/>
        </w:rPr>
        <w:t>]</w:t>
      </w:r>
      <w:r w:rsidR="005160F4" w:rsidRPr="00D51FCD">
        <w:rPr>
          <w:rFonts w:ascii="Times New Roman" w:hAnsi="Times New Roman" w:cs="Times New Roman"/>
          <w:noProof/>
          <w:sz w:val="24"/>
          <w:szCs w:val="24"/>
        </w:rPr>
        <w:tab/>
        <w:t xml:space="preserve">V. Kumaresan and R. Velraj, “Experimental investigation of the thermo-physical properties of water-ethylene glycol mixture based CNT nanofluids,” </w:t>
      </w:r>
      <w:r w:rsidR="005160F4" w:rsidRPr="00D51FCD">
        <w:rPr>
          <w:rFonts w:ascii="Times New Roman" w:hAnsi="Times New Roman" w:cs="Times New Roman"/>
          <w:i/>
          <w:iCs/>
          <w:noProof/>
          <w:sz w:val="24"/>
          <w:szCs w:val="24"/>
        </w:rPr>
        <w:t>Thermochim. Acta</w:t>
      </w:r>
      <w:r w:rsidR="005160F4" w:rsidRPr="00D51FCD">
        <w:rPr>
          <w:rFonts w:ascii="Times New Roman" w:hAnsi="Times New Roman" w:cs="Times New Roman"/>
          <w:noProof/>
          <w:sz w:val="24"/>
          <w:szCs w:val="24"/>
        </w:rPr>
        <w:t>, vol. 545, pp. 180–186, 2012.</w:t>
      </w:r>
    </w:p>
    <w:p w:rsidR="005160F4" w:rsidRPr="00D51FCD" w:rsidRDefault="003C48EF"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[25</w:t>
      </w:r>
      <w:r w:rsidR="005160F4" w:rsidRPr="00D51FCD">
        <w:rPr>
          <w:rFonts w:ascii="Times New Roman" w:hAnsi="Times New Roman" w:cs="Times New Roman"/>
          <w:noProof/>
          <w:sz w:val="24"/>
          <w:szCs w:val="24"/>
        </w:rPr>
        <w:t>]</w:t>
      </w:r>
      <w:r w:rsidR="005160F4" w:rsidRPr="00D51FCD">
        <w:rPr>
          <w:rFonts w:ascii="Times New Roman" w:hAnsi="Times New Roman" w:cs="Times New Roman"/>
          <w:noProof/>
          <w:sz w:val="24"/>
          <w:szCs w:val="24"/>
        </w:rPr>
        <w:tab/>
        <w:t xml:space="preserve">M. Fakoor Pakdaman, M. A. Akhavan-Behabadi, and P. Razi, “An experimental investigation on thermo-physical properties and overall performance of MWCNT/heat transfer oil nanofluid flow inside vertical helically coiled tubes,” </w:t>
      </w:r>
      <w:r w:rsidR="005160F4" w:rsidRPr="00D51FCD">
        <w:rPr>
          <w:rFonts w:ascii="Times New Roman" w:hAnsi="Times New Roman" w:cs="Times New Roman"/>
          <w:i/>
          <w:iCs/>
          <w:noProof/>
          <w:sz w:val="24"/>
          <w:szCs w:val="24"/>
        </w:rPr>
        <w:t>Exp. Therm. Fluid Sci.</w:t>
      </w:r>
      <w:r w:rsidR="005160F4" w:rsidRPr="00D51FCD">
        <w:rPr>
          <w:rFonts w:ascii="Times New Roman" w:hAnsi="Times New Roman" w:cs="Times New Roman"/>
          <w:noProof/>
          <w:sz w:val="24"/>
          <w:szCs w:val="24"/>
        </w:rPr>
        <w:t>, vol. 40, pp. 103–111, 2012.</w:t>
      </w:r>
    </w:p>
    <w:p w:rsidR="005160F4" w:rsidRPr="00D51FCD" w:rsidRDefault="003C48EF"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[26</w:t>
      </w:r>
      <w:r w:rsidR="005160F4" w:rsidRPr="00D51FCD">
        <w:rPr>
          <w:rFonts w:ascii="Times New Roman" w:hAnsi="Times New Roman" w:cs="Times New Roman"/>
          <w:noProof/>
          <w:sz w:val="24"/>
          <w:szCs w:val="24"/>
        </w:rPr>
        <w:t>]</w:t>
      </w:r>
      <w:r w:rsidR="005160F4" w:rsidRPr="00D51FCD">
        <w:rPr>
          <w:rFonts w:ascii="Times New Roman" w:hAnsi="Times New Roman" w:cs="Times New Roman"/>
          <w:noProof/>
          <w:sz w:val="24"/>
          <w:szCs w:val="24"/>
        </w:rPr>
        <w:tab/>
        <w:t xml:space="preserve">L. Chen, H. Xie, W. Yu, and Y. Li, “Rheological Behaviors of Nanofluids Containing Multi-Walled Carbon Nanotube,” </w:t>
      </w:r>
      <w:r w:rsidR="005160F4" w:rsidRPr="00D51FCD">
        <w:rPr>
          <w:rFonts w:ascii="Times New Roman" w:hAnsi="Times New Roman" w:cs="Times New Roman"/>
          <w:i/>
          <w:iCs/>
          <w:noProof/>
          <w:sz w:val="24"/>
          <w:szCs w:val="24"/>
        </w:rPr>
        <w:t>J. Dispers. Sci. Technol.</w:t>
      </w:r>
      <w:r w:rsidR="005160F4" w:rsidRPr="00D51FCD">
        <w:rPr>
          <w:rFonts w:ascii="Times New Roman" w:hAnsi="Times New Roman" w:cs="Times New Roman"/>
          <w:noProof/>
          <w:sz w:val="24"/>
          <w:szCs w:val="24"/>
        </w:rPr>
        <w:t>, vol. 32, no. 4, pp. 550–554, 2011.</w:t>
      </w:r>
    </w:p>
    <w:p w:rsidR="005160F4" w:rsidRPr="00D51FCD" w:rsidRDefault="003C48EF"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[27</w:t>
      </w:r>
      <w:r w:rsidR="005160F4" w:rsidRPr="00D51FCD">
        <w:rPr>
          <w:rFonts w:ascii="Times New Roman" w:hAnsi="Times New Roman" w:cs="Times New Roman"/>
          <w:noProof/>
          <w:sz w:val="24"/>
          <w:szCs w:val="24"/>
        </w:rPr>
        <w:t>]</w:t>
      </w:r>
      <w:r w:rsidR="005160F4" w:rsidRPr="00D51FCD">
        <w:rPr>
          <w:rFonts w:ascii="Times New Roman" w:hAnsi="Times New Roman" w:cs="Times New Roman"/>
          <w:noProof/>
          <w:sz w:val="24"/>
          <w:szCs w:val="24"/>
        </w:rPr>
        <w:tab/>
        <w:t>S. Halelfadl, P. Estell, B. Aladag, N. Doner, T. Mar, S. Halelfadl, P. Estell, B. Aladag, N. Doner, and T. Mar, “Viscosity of carbon nanotubes water based nanofluids : Influence of concentration and temperature To cite this version :,” 2013.</w:t>
      </w:r>
    </w:p>
    <w:p w:rsidR="005160F4" w:rsidRPr="00D51FCD" w:rsidRDefault="003C48EF"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[28</w:t>
      </w:r>
      <w:r w:rsidR="005160F4" w:rsidRPr="00D51FCD">
        <w:rPr>
          <w:rFonts w:ascii="Times New Roman" w:hAnsi="Times New Roman" w:cs="Times New Roman"/>
          <w:noProof/>
          <w:sz w:val="24"/>
          <w:szCs w:val="24"/>
        </w:rPr>
        <w:t>]</w:t>
      </w:r>
      <w:r w:rsidR="005160F4" w:rsidRPr="00D51FCD">
        <w:rPr>
          <w:rFonts w:ascii="Times New Roman" w:hAnsi="Times New Roman" w:cs="Times New Roman"/>
          <w:noProof/>
          <w:sz w:val="24"/>
          <w:szCs w:val="24"/>
        </w:rPr>
        <w:tab/>
        <w:t xml:space="preserve">S. Halelfadl, T. Maré, and P. Estellé, “Efficiency of carbon nanotubes water based nanofluids as coolants,” </w:t>
      </w:r>
      <w:r w:rsidR="005160F4" w:rsidRPr="00D51FCD">
        <w:rPr>
          <w:rFonts w:ascii="Times New Roman" w:hAnsi="Times New Roman" w:cs="Times New Roman"/>
          <w:i/>
          <w:iCs/>
          <w:noProof/>
          <w:sz w:val="24"/>
          <w:szCs w:val="24"/>
        </w:rPr>
        <w:t>Exp. Therm. Fluid Sci.</w:t>
      </w:r>
      <w:r w:rsidR="005160F4" w:rsidRPr="00D51FCD">
        <w:rPr>
          <w:rFonts w:ascii="Times New Roman" w:hAnsi="Times New Roman" w:cs="Times New Roman"/>
          <w:noProof/>
          <w:sz w:val="24"/>
          <w:szCs w:val="24"/>
        </w:rPr>
        <w:t>, vol. 53, pp. 104–110, 2014.</w:t>
      </w:r>
    </w:p>
    <w:p w:rsidR="005160F4" w:rsidRPr="00D51FCD" w:rsidRDefault="003C48EF"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[29</w:t>
      </w:r>
      <w:r w:rsidR="005160F4" w:rsidRPr="00D51FCD">
        <w:rPr>
          <w:rFonts w:ascii="Times New Roman" w:hAnsi="Times New Roman" w:cs="Times New Roman"/>
          <w:noProof/>
          <w:sz w:val="24"/>
          <w:szCs w:val="24"/>
        </w:rPr>
        <w:t>]</w:t>
      </w:r>
      <w:r w:rsidR="005160F4" w:rsidRPr="00D51FCD">
        <w:rPr>
          <w:rFonts w:ascii="Times New Roman" w:hAnsi="Times New Roman" w:cs="Times New Roman"/>
          <w:noProof/>
          <w:sz w:val="24"/>
          <w:szCs w:val="24"/>
        </w:rPr>
        <w:tab/>
        <w:t xml:space="preserve">Y. Ding, H. Alias, D. Wen, and R. a. Williams, “Heat transfer of aqueous suspensions of carbon nanotubes (CNT nanofluids),” </w:t>
      </w:r>
      <w:r w:rsidR="005160F4" w:rsidRPr="00D51FCD">
        <w:rPr>
          <w:rFonts w:ascii="Times New Roman" w:hAnsi="Times New Roman" w:cs="Times New Roman"/>
          <w:i/>
          <w:iCs/>
          <w:noProof/>
          <w:sz w:val="24"/>
          <w:szCs w:val="24"/>
        </w:rPr>
        <w:t>Int. J. Heat Mass Transf.</w:t>
      </w:r>
      <w:r w:rsidR="005160F4" w:rsidRPr="00D51FCD">
        <w:rPr>
          <w:rFonts w:ascii="Times New Roman" w:hAnsi="Times New Roman" w:cs="Times New Roman"/>
          <w:noProof/>
          <w:sz w:val="24"/>
          <w:szCs w:val="24"/>
        </w:rPr>
        <w:t xml:space="preserve">, vol. 49, no. 1–2, pp. </w:t>
      </w:r>
      <w:r w:rsidR="005160F4" w:rsidRPr="00D51FCD">
        <w:rPr>
          <w:rFonts w:ascii="Times New Roman" w:hAnsi="Times New Roman" w:cs="Times New Roman"/>
          <w:noProof/>
          <w:sz w:val="24"/>
          <w:szCs w:val="24"/>
        </w:rPr>
        <w:lastRenderedPageBreak/>
        <w:t>240–250, 2006.</w:t>
      </w:r>
    </w:p>
    <w:p w:rsidR="005160F4" w:rsidRPr="00D51FCD" w:rsidRDefault="003C48EF"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[30</w:t>
      </w:r>
      <w:r w:rsidR="005160F4" w:rsidRPr="00D51FCD">
        <w:rPr>
          <w:rFonts w:ascii="Times New Roman" w:hAnsi="Times New Roman" w:cs="Times New Roman"/>
          <w:noProof/>
          <w:sz w:val="24"/>
          <w:szCs w:val="24"/>
        </w:rPr>
        <w:t>]</w:t>
      </w:r>
      <w:r w:rsidR="005160F4" w:rsidRPr="00D51FCD">
        <w:rPr>
          <w:rFonts w:ascii="Times New Roman" w:hAnsi="Times New Roman" w:cs="Times New Roman"/>
          <w:noProof/>
          <w:sz w:val="24"/>
          <w:szCs w:val="24"/>
        </w:rPr>
        <w:tab/>
        <w:t xml:space="preserve">T. X. Phuoc, M. Massoudi, and R. H. Chen, “Viscosity and thermal conductivity of nanofluids containing multi-walled carbon nanotubes stabilized by chitosan,” </w:t>
      </w:r>
      <w:r w:rsidR="005160F4" w:rsidRPr="00D51FCD">
        <w:rPr>
          <w:rFonts w:ascii="Times New Roman" w:hAnsi="Times New Roman" w:cs="Times New Roman"/>
          <w:i/>
          <w:iCs/>
          <w:noProof/>
          <w:sz w:val="24"/>
          <w:szCs w:val="24"/>
        </w:rPr>
        <w:t>Int. J. Therm. Sci.</w:t>
      </w:r>
      <w:r w:rsidR="005160F4" w:rsidRPr="00D51FCD">
        <w:rPr>
          <w:rFonts w:ascii="Times New Roman" w:hAnsi="Times New Roman" w:cs="Times New Roman"/>
          <w:noProof/>
          <w:sz w:val="24"/>
          <w:szCs w:val="24"/>
        </w:rPr>
        <w:t>, vol. 50, no. 1, pp. 12–18, 2011.</w:t>
      </w:r>
    </w:p>
    <w:p w:rsidR="005160F4" w:rsidRPr="00D51FCD" w:rsidRDefault="003C48EF" w:rsidP="003C48EF">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D51FCD">
        <w:rPr>
          <w:rFonts w:ascii="Times New Roman" w:hAnsi="Times New Roman" w:cs="Times New Roman"/>
          <w:noProof/>
          <w:sz w:val="24"/>
          <w:szCs w:val="24"/>
        </w:rPr>
        <w:t>[31</w:t>
      </w:r>
      <w:r w:rsidR="005160F4" w:rsidRPr="00D51FCD">
        <w:rPr>
          <w:rFonts w:ascii="Times New Roman" w:hAnsi="Times New Roman" w:cs="Times New Roman"/>
          <w:noProof/>
          <w:sz w:val="24"/>
          <w:szCs w:val="24"/>
        </w:rPr>
        <w:t>]</w:t>
      </w:r>
      <w:r w:rsidR="005160F4" w:rsidRPr="00D51FCD">
        <w:rPr>
          <w:rFonts w:ascii="Times New Roman" w:hAnsi="Times New Roman" w:cs="Times New Roman"/>
          <w:noProof/>
          <w:sz w:val="24"/>
          <w:szCs w:val="24"/>
        </w:rPr>
        <w:tab/>
        <w:t xml:space="preserve">M.-S. Liu, M. Ching-Cheng Lin, I.-T. Huang, and C.-C. Wang, “Enhancement of thermal conductivity with carbon nanotube for nanofluids,” </w:t>
      </w:r>
      <w:r w:rsidR="005160F4" w:rsidRPr="00D51FCD">
        <w:rPr>
          <w:rFonts w:ascii="Times New Roman" w:hAnsi="Times New Roman" w:cs="Times New Roman"/>
          <w:i/>
          <w:iCs/>
          <w:noProof/>
          <w:sz w:val="24"/>
          <w:szCs w:val="24"/>
        </w:rPr>
        <w:t>Int. Commun. Heat Mass Transf.</w:t>
      </w:r>
      <w:r w:rsidR="005160F4" w:rsidRPr="00D51FCD">
        <w:rPr>
          <w:rFonts w:ascii="Times New Roman" w:hAnsi="Times New Roman" w:cs="Times New Roman"/>
          <w:noProof/>
          <w:sz w:val="24"/>
          <w:szCs w:val="24"/>
        </w:rPr>
        <w:t>, vol. 32, no. 9, pp. 1202–1210, 2005.</w:t>
      </w:r>
    </w:p>
    <w:p w:rsidR="005160F4" w:rsidRPr="00D51FCD" w:rsidRDefault="003C48EF" w:rsidP="003C48EF">
      <w:pPr>
        <w:widowControl w:val="0"/>
        <w:autoSpaceDE w:val="0"/>
        <w:autoSpaceDN w:val="0"/>
        <w:adjustRightInd w:val="0"/>
        <w:spacing w:line="240" w:lineRule="auto"/>
        <w:ind w:left="640" w:hanging="640"/>
        <w:jc w:val="both"/>
        <w:rPr>
          <w:rFonts w:ascii="Times New Roman" w:hAnsi="Times New Roman" w:cs="Times New Roman"/>
          <w:noProof/>
          <w:sz w:val="24"/>
        </w:rPr>
      </w:pPr>
      <w:r w:rsidRPr="00D51FCD">
        <w:rPr>
          <w:rFonts w:ascii="Times New Roman" w:hAnsi="Times New Roman" w:cs="Times New Roman"/>
          <w:noProof/>
          <w:sz w:val="24"/>
          <w:szCs w:val="24"/>
        </w:rPr>
        <w:t>[32</w:t>
      </w:r>
      <w:r w:rsidR="005160F4" w:rsidRPr="00D51FCD">
        <w:rPr>
          <w:rFonts w:ascii="Times New Roman" w:hAnsi="Times New Roman" w:cs="Times New Roman"/>
          <w:noProof/>
          <w:sz w:val="24"/>
          <w:szCs w:val="24"/>
        </w:rPr>
        <w:t>]</w:t>
      </w:r>
      <w:r w:rsidR="005160F4" w:rsidRPr="00D51FCD">
        <w:rPr>
          <w:rFonts w:ascii="Times New Roman" w:hAnsi="Times New Roman" w:cs="Times New Roman"/>
          <w:noProof/>
          <w:sz w:val="24"/>
          <w:szCs w:val="24"/>
        </w:rPr>
        <w:tab/>
        <w:t>K. P. Reddy, B. Panitapu, and G. A. Reddy, “Nano Fluids and Heat Transfer Enhancement a Review,” vol. 7, no. 6, 2016.</w:t>
      </w:r>
    </w:p>
    <w:p w:rsidR="000B2852" w:rsidRDefault="005160F4" w:rsidP="003C48EF">
      <w:pPr>
        <w:spacing w:line="240" w:lineRule="auto"/>
        <w:jc w:val="both"/>
        <w:rPr>
          <w:rFonts w:ascii="Times New Roman" w:hAnsi="Times New Roman" w:cs="Times New Roman"/>
          <w:noProof/>
          <w:sz w:val="24"/>
          <w:szCs w:val="24"/>
        </w:rPr>
      </w:pPr>
      <w:r w:rsidRPr="00D51FCD">
        <w:rPr>
          <w:rFonts w:ascii="Times New Roman" w:hAnsi="Times New Roman" w:cs="Times New Roman"/>
          <w:b/>
          <w:sz w:val="24"/>
          <w:szCs w:val="24"/>
        </w:rPr>
        <w:fldChar w:fldCharType="end"/>
      </w:r>
      <w:r w:rsidR="000B2852" w:rsidRPr="000B2852">
        <w:rPr>
          <w:rFonts w:ascii="Times New Roman" w:hAnsi="Times New Roman" w:cs="Times New Roman"/>
          <w:noProof/>
          <w:sz w:val="24"/>
          <w:szCs w:val="24"/>
        </w:rPr>
        <w:t xml:space="preserve"> </w:t>
      </w:r>
    </w:p>
    <w:p w:rsidR="000B2852" w:rsidRPr="009E32F9" w:rsidRDefault="000B2852" w:rsidP="000B2852">
      <w:pPr>
        <w:widowControl w:val="0"/>
        <w:autoSpaceDE w:val="0"/>
        <w:autoSpaceDN w:val="0"/>
        <w:adjustRightInd w:val="0"/>
        <w:spacing w:line="240" w:lineRule="auto"/>
        <w:ind w:left="480" w:hanging="480"/>
        <w:rPr>
          <w:rFonts w:ascii="Times New Roman" w:hAnsi="Times New Roman" w:cs="Times New Roman"/>
          <w:noProof/>
          <w:sz w:val="24"/>
          <w:szCs w:val="24"/>
        </w:rPr>
      </w:pPr>
    </w:p>
    <w:p w:rsidR="000B2852" w:rsidRDefault="000B2852" w:rsidP="000B2852">
      <w:pPr>
        <w:spacing w:line="240" w:lineRule="auto"/>
        <w:rPr>
          <w:rFonts w:ascii="Times New Roman" w:hAnsi="Times New Roman" w:cs="Times New Roman"/>
          <w:noProof/>
          <w:sz w:val="24"/>
          <w:szCs w:val="24"/>
        </w:rPr>
      </w:pPr>
    </w:p>
    <w:p w:rsidR="000B2852" w:rsidRPr="000A10BE" w:rsidRDefault="000B2852" w:rsidP="000B2852">
      <w:pPr>
        <w:spacing w:line="240" w:lineRule="auto"/>
        <w:rPr>
          <w:rFonts w:ascii="Times New Roman" w:hAnsi="Times New Roman" w:cs="Times New Roman"/>
          <w:b/>
          <w:sz w:val="24"/>
          <w:szCs w:val="24"/>
        </w:rPr>
      </w:pPr>
    </w:p>
    <w:sectPr w:rsidR="000B2852" w:rsidRPr="000A10B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500" w:rsidRDefault="00AB6500" w:rsidP="008E3B4F">
      <w:pPr>
        <w:spacing w:after="0" w:line="240" w:lineRule="auto"/>
      </w:pPr>
      <w:r>
        <w:separator/>
      </w:r>
    </w:p>
  </w:endnote>
  <w:endnote w:type="continuationSeparator" w:id="0">
    <w:p w:rsidR="00AB6500" w:rsidRDefault="00AB6500" w:rsidP="008E3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500" w:rsidRDefault="00AB6500" w:rsidP="008E3B4F">
      <w:pPr>
        <w:spacing w:after="0" w:line="240" w:lineRule="auto"/>
      </w:pPr>
      <w:r>
        <w:separator/>
      </w:r>
    </w:p>
  </w:footnote>
  <w:footnote w:type="continuationSeparator" w:id="0">
    <w:p w:rsidR="00AB6500" w:rsidRDefault="00AB6500" w:rsidP="008E3B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C52"/>
    <w:rsid w:val="000671C4"/>
    <w:rsid w:val="000A10BE"/>
    <w:rsid w:val="000B2852"/>
    <w:rsid w:val="000E0B96"/>
    <w:rsid w:val="00104A8B"/>
    <w:rsid w:val="0012344A"/>
    <w:rsid w:val="0013136A"/>
    <w:rsid w:val="00132946"/>
    <w:rsid w:val="001C115B"/>
    <w:rsid w:val="001D157F"/>
    <w:rsid w:val="002237A3"/>
    <w:rsid w:val="00245F8C"/>
    <w:rsid w:val="00255A71"/>
    <w:rsid w:val="00263A0E"/>
    <w:rsid w:val="002716DB"/>
    <w:rsid w:val="002E6B44"/>
    <w:rsid w:val="003041A5"/>
    <w:rsid w:val="0039407E"/>
    <w:rsid w:val="0039571D"/>
    <w:rsid w:val="003C48EF"/>
    <w:rsid w:val="003D4FA8"/>
    <w:rsid w:val="003E3D65"/>
    <w:rsid w:val="00414DA5"/>
    <w:rsid w:val="00441283"/>
    <w:rsid w:val="004633BE"/>
    <w:rsid w:val="00493E48"/>
    <w:rsid w:val="004B44A5"/>
    <w:rsid w:val="004C4457"/>
    <w:rsid w:val="004E4A6D"/>
    <w:rsid w:val="005160F4"/>
    <w:rsid w:val="005E1495"/>
    <w:rsid w:val="006220FE"/>
    <w:rsid w:val="00682939"/>
    <w:rsid w:val="006A3C5A"/>
    <w:rsid w:val="006A63C0"/>
    <w:rsid w:val="006E4BC4"/>
    <w:rsid w:val="00773E4C"/>
    <w:rsid w:val="007C710E"/>
    <w:rsid w:val="0084649F"/>
    <w:rsid w:val="00861AB2"/>
    <w:rsid w:val="008859B9"/>
    <w:rsid w:val="008E3B4F"/>
    <w:rsid w:val="00904E1F"/>
    <w:rsid w:val="00972478"/>
    <w:rsid w:val="0099326C"/>
    <w:rsid w:val="009E7E9E"/>
    <w:rsid w:val="00A40C52"/>
    <w:rsid w:val="00A57CF0"/>
    <w:rsid w:val="00A662CD"/>
    <w:rsid w:val="00AA0629"/>
    <w:rsid w:val="00AA7A94"/>
    <w:rsid w:val="00AB6500"/>
    <w:rsid w:val="00AE34D6"/>
    <w:rsid w:val="00B025DE"/>
    <w:rsid w:val="00B31907"/>
    <w:rsid w:val="00B57B41"/>
    <w:rsid w:val="00B6780E"/>
    <w:rsid w:val="00B73C4C"/>
    <w:rsid w:val="00BF4034"/>
    <w:rsid w:val="00C11E3B"/>
    <w:rsid w:val="00C57C57"/>
    <w:rsid w:val="00C777D4"/>
    <w:rsid w:val="00C8505C"/>
    <w:rsid w:val="00CA138B"/>
    <w:rsid w:val="00CB7B3F"/>
    <w:rsid w:val="00CE54D2"/>
    <w:rsid w:val="00D51FCD"/>
    <w:rsid w:val="00D6538E"/>
    <w:rsid w:val="00D773D4"/>
    <w:rsid w:val="00D92291"/>
    <w:rsid w:val="00E01997"/>
    <w:rsid w:val="00EB108C"/>
    <w:rsid w:val="00EC147F"/>
    <w:rsid w:val="00EC2FBA"/>
    <w:rsid w:val="00F35933"/>
    <w:rsid w:val="00FA6C8E"/>
    <w:rsid w:val="00FC54EF"/>
    <w:rsid w:val="00FD6752"/>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49059"/>
  <w15:docId w15:val="{199B04F4-A358-4259-A4EC-9ADF2B026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8E3B4F"/>
    <w:pPr>
      <w:keepNext/>
      <w:keepLines/>
      <w:spacing w:before="40" w:after="0" w:line="480" w:lineRule="auto"/>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939"/>
    <w:pPr>
      <w:ind w:left="720"/>
      <w:contextualSpacing/>
    </w:pPr>
  </w:style>
  <w:style w:type="paragraph" w:customStyle="1" w:styleId="IEEEAuthorName">
    <w:name w:val="IEEE Author Name"/>
    <w:basedOn w:val="Normal"/>
    <w:next w:val="Normal"/>
    <w:rsid w:val="00441283"/>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441283"/>
    <w:pPr>
      <w:spacing w:after="60" w:line="240" w:lineRule="auto"/>
      <w:jc w:val="center"/>
    </w:pPr>
    <w:rPr>
      <w:rFonts w:ascii="Times New Roman" w:eastAsia="Times New Roman" w:hAnsi="Times New Roman" w:cs="Times New Roman"/>
      <w:i/>
      <w:sz w:val="20"/>
      <w:szCs w:val="24"/>
      <w:lang w:val="en-GB" w:eastAsia="en-GB"/>
    </w:rPr>
  </w:style>
  <w:style w:type="paragraph" w:styleId="NoSpacing">
    <w:name w:val="No Spacing"/>
    <w:uiPriority w:val="1"/>
    <w:qFormat/>
    <w:rsid w:val="00441283"/>
    <w:pPr>
      <w:spacing w:after="0" w:line="240" w:lineRule="auto"/>
    </w:pPr>
    <w:rPr>
      <w:lang w:val="en-US"/>
    </w:rPr>
  </w:style>
  <w:style w:type="paragraph" w:customStyle="1" w:styleId="JESTECAffiliation">
    <w:name w:val="JESTEC Affiliation"/>
    <w:basedOn w:val="Normal"/>
    <w:rsid w:val="00441283"/>
    <w:pPr>
      <w:spacing w:after="0" w:line="240" w:lineRule="auto"/>
      <w:jc w:val="center"/>
    </w:pPr>
    <w:rPr>
      <w:rFonts w:ascii="Times New Roman" w:eastAsia="SimSun" w:hAnsi="Times New Roman" w:cs="Times New Roman"/>
      <w:sz w:val="18"/>
      <w:szCs w:val="18"/>
      <w:lang w:val="en-GB" w:eastAsia="en-IN"/>
    </w:rPr>
  </w:style>
  <w:style w:type="character" w:customStyle="1" w:styleId="selectable">
    <w:name w:val="selectable"/>
    <w:basedOn w:val="DefaultParagraphFont"/>
    <w:rsid w:val="005E1495"/>
  </w:style>
  <w:style w:type="paragraph" w:styleId="Header">
    <w:name w:val="header"/>
    <w:basedOn w:val="Normal"/>
    <w:link w:val="HeaderChar"/>
    <w:uiPriority w:val="99"/>
    <w:unhideWhenUsed/>
    <w:rsid w:val="008E3B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B4F"/>
  </w:style>
  <w:style w:type="paragraph" w:styleId="Footer">
    <w:name w:val="footer"/>
    <w:basedOn w:val="Normal"/>
    <w:link w:val="FooterChar"/>
    <w:uiPriority w:val="99"/>
    <w:unhideWhenUsed/>
    <w:rsid w:val="008E3B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3B4F"/>
  </w:style>
  <w:style w:type="character" w:customStyle="1" w:styleId="Heading2Char">
    <w:name w:val="Heading 2 Char"/>
    <w:basedOn w:val="DefaultParagraphFont"/>
    <w:link w:val="Heading2"/>
    <w:uiPriority w:val="9"/>
    <w:rsid w:val="008E3B4F"/>
    <w:rPr>
      <w:rFonts w:ascii="Times New Roman" w:eastAsiaTheme="majorEastAsia" w:hAnsi="Times New Roman" w:cstheme="majorBidi"/>
      <w:b/>
      <w:sz w:val="24"/>
      <w:szCs w:val="26"/>
    </w:rPr>
  </w:style>
  <w:style w:type="paragraph" w:styleId="Caption">
    <w:name w:val="caption"/>
    <w:basedOn w:val="Normal"/>
    <w:next w:val="Normal"/>
    <w:uiPriority w:val="35"/>
    <w:unhideWhenUsed/>
    <w:qFormat/>
    <w:rsid w:val="008E3B4F"/>
    <w:pPr>
      <w:spacing w:after="200" w:line="240" w:lineRule="auto"/>
    </w:pPr>
    <w:rPr>
      <w:rFonts w:ascii="Times New Roman" w:hAnsi="Times New Roman"/>
      <w:i/>
      <w:iCs/>
      <w:color w:val="44546A" w:themeColor="text2"/>
      <w:sz w:val="18"/>
      <w:szCs w:val="18"/>
    </w:rPr>
  </w:style>
  <w:style w:type="table" w:customStyle="1" w:styleId="TableGrid1">
    <w:name w:val="Table Grid1"/>
    <w:basedOn w:val="TableNormal"/>
    <w:next w:val="TableGrid"/>
    <w:uiPriority w:val="39"/>
    <w:rsid w:val="008E3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E3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Paragraph">
    <w:name w:val="IEEE Paragraph"/>
    <w:basedOn w:val="Normal"/>
    <w:rsid w:val="008E3B4F"/>
    <w:pPr>
      <w:adjustRightInd w:val="0"/>
      <w:snapToGrid w:val="0"/>
      <w:spacing w:after="0" w:line="240" w:lineRule="auto"/>
      <w:ind w:firstLine="216"/>
      <w:jc w:val="both"/>
    </w:pPr>
    <w:rPr>
      <w:rFonts w:ascii="Times New Roman" w:eastAsia="SimSun" w:hAnsi="Times New Roman" w:cs="Times New Roman"/>
      <w:sz w:val="20"/>
      <w:szCs w:val="24"/>
      <w:lang w:val="en-US" w:eastAsia="zh-CN"/>
    </w:rPr>
  </w:style>
  <w:style w:type="table" w:customStyle="1" w:styleId="TableGrid2">
    <w:name w:val="Table Grid2"/>
    <w:basedOn w:val="TableNormal"/>
    <w:next w:val="TableGrid"/>
    <w:uiPriority w:val="39"/>
    <w:rsid w:val="0024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3E4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93E4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chart" Target="charts/chart14.xm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chart" Target="charts/chart4.xml"/><Relationship Id="rId53" Type="http://schemas.openxmlformats.org/officeDocument/2006/relationships/chart" Target="charts/chart12.xml"/><Relationship Id="rId58" Type="http://schemas.openxmlformats.org/officeDocument/2006/relationships/chart" Target="charts/chart17.xml"/><Relationship Id="rId5" Type="http://schemas.openxmlformats.org/officeDocument/2006/relationships/footnotes" Target="footnotes.xml"/><Relationship Id="rId61" Type="http://schemas.openxmlformats.org/officeDocument/2006/relationships/chart" Target="charts/chart20.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chart" Target="charts/chart15.xm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chart" Target="charts/chart10.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chart" Target="charts/chart5.xml"/><Relationship Id="rId59" Type="http://schemas.openxmlformats.org/officeDocument/2006/relationships/chart" Target="charts/chart18.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chart" Target="charts/chart13.xml"/><Relationship Id="rId62"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chart" Target="charts/chart8.xml"/><Relationship Id="rId57" Type="http://schemas.openxmlformats.org/officeDocument/2006/relationships/chart" Target="charts/chart16.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chart" Target="charts/chart19.xml"/><Relationship Id="rId4" Type="http://schemas.openxmlformats.org/officeDocument/2006/relationships/webSettings" Target="webSettings.xml"/><Relationship Id="rId9"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masters\Experiments\Density\density-DMA.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ser\Desktop\masters\Experiments\Viscosity\Pure%20Gly,%20DES%201,2,3,4_graph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User\Desktop\masters\Experiments\Viscosity\Pure%20Gly,%20DES%201,2,3,4_graph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esktop\masters\Experiments\Viscosity\Pure%20Gly,%20DES%201,2,3,4_graph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esktop\masters\Experiments\Viscosity\Pure%20Gly,%20DES%201,2,3,4_graphs.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User\Desktop\masters\Experiments\Viscosity\Pure%20Gly,%20DES%201,2,3,4_graph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User\Desktop\masters\Experiments\Thermal%20Conductivity\Thermal%20Conductivity%20Data%20of%20CNT%20DES%20(Final)-lee.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User\Desktop\masters\Experiments\Thermal%20Conductivity\Thermal%20Conductivity%20Data%20of%20CNT%20DES%20(Final)-lee.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User\Desktop\masters\Experiments\Thermal%20Conductivity\Thermal%20Conductivity%20Data%20of%20CNT%20DES%20(Final)-lee.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Desktop\masters\Experiments\Thermal%20Conductivity\Thermal%20Conductivity%20Data%20of%20CNT%20DES%20(Final)-lee.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User\Desktop\masters\Experiments\Thermal%20Conductivity\TC%20@%2080C%20&amp;%20100C_Gly_DES.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masters\Experiments\Density\density-DMA.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esktop\masters\Experiments\Thermal%20Conductivity\TC%20@%2080C%20&amp;%20100C_Gly_DES.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User\Desktop\masters\Experiments\Thermal%20Conductivity\TC%20@%2080C%20&amp;%20100C_Gly_DES.xlsx"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masters\Experiments\Density\density-DM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masters\Experiments\Density\density-DM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esktop\masters\Experiments\Density\density-DMA.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esktop\masters\Experiments\Density\density-DMA.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masters\Experiments\Density\density-DMA.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esktop\masters\Experiments\Viscosity\Pure%20Gly,%20DES%201,2,3,4_graph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masters\Experiments\Viscosity\Pure%20Gly,%20DES%201,2,3,4_graph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187422410126001"/>
          <c:y val="6.3436265615640405E-2"/>
          <c:w val="0.75216907261592303"/>
          <c:h val="0.63759988334791495"/>
        </c:manualLayout>
      </c:layout>
      <c:scatterChart>
        <c:scatterStyle val="smoothMarker"/>
        <c:varyColors val="0"/>
        <c:ser>
          <c:idx val="0"/>
          <c:order val="0"/>
          <c:tx>
            <c:strRef>
              <c:f>Sheet1!$J$43</c:f>
              <c:strCache>
                <c:ptCount val="1"/>
                <c:pt idx="0">
                  <c:v>25</c:v>
                </c:pt>
              </c:strCache>
            </c:strRef>
          </c:tx>
          <c:spPr>
            <a:ln w="19050" cap="rnd">
              <a:solidFill>
                <a:srgbClr val="FFC000"/>
              </a:solidFill>
              <a:prstDash val="dash"/>
              <a:round/>
            </a:ln>
            <a:effectLst/>
          </c:spPr>
          <c:marker>
            <c:symbol val="circle"/>
            <c:size val="5"/>
            <c:spPr>
              <a:solidFill>
                <a:srgbClr val="FFC000"/>
              </a:solidFill>
              <a:ln w="9525">
                <a:solidFill>
                  <a:srgbClr val="FFC000"/>
                </a:solidFill>
              </a:ln>
              <a:effectLst/>
            </c:spPr>
          </c:marker>
          <c:xVal>
            <c:numRef>
              <c:f>Sheet1!$K$42:$N$42</c:f>
              <c:numCache>
                <c:formatCode>General</c:formatCode>
                <c:ptCount val="4"/>
                <c:pt idx="0">
                  <c:v>0</c:v>
                </c:pt>
                <c:pt idx="1">
                  <c:v>0.01</c:v>
                </c:pt>
                <c:pt idx="2">
                  <c:v>0.05</c:v>
                </c:pt>
                <c:pt idx="3">
                  <c:v>0.1</c:v>
                </c:pt>
              </c:numCache>
            </c:numRef>
          </c:xVal>
          <c:yVal>
            <c:numRef>
              <c:f>Sheet1!$K$43:$N$43</c:f>
              <c:numCache>
                <c:formatCode>0.000000</c:formatCode>
                <c:ptCount val="4"/>
                <c:pt idx="0">
                  <c:v>1.18781</c:v>
                </c:pt>
                <c:pt idx="1">
                  <c:v>1.18807</c:v>
                </c:pt>
                <c:pt idx="2">
                  <c:v>1.188636666666667</c:v>
                </c:pt>
                <c:pt idx="3">
                  <c:v>1.1899666666666671</c:v>
                </c:pt>
              </c:numCache>
            </c:numRef>
          </c:yVal>
          <c:smooth val="1"/>
          <c:extLst>
            <c:ext xmlns:c16="http://schemas.microsoft.com/office/drawing/2014/chart" uri="{C3380CC4-5D6E-409C-BE32-E72D297353CC}">
              <c16:uniqueId val="{00000000-C197-423B-A846-08153F72308D}"/>
            </c:ext>
          </c:extLst>
        </c:ser>
        <c:ser>
          <c:idx val="1"/>
          <c:order val="1"/>
          <c:tx>
            <c:strRef>
              <c:f>Sheet1!$J$44</c:f>
              <c:strCache>
                <c:ptCount val="1"/>
                <c:pt idx="0">
                  <c:v>40</c:v>
                </c:pt>
              </c:strCache>
            </c:strRef>
          </c:tx>
          <c:spPr>
            <a:ln w="19050" cap="rnd">
              <a:solidFill>
                <a:srgbClr val="0070C0"/>
              </a:solidFill>
              <a:prstDash val="dash"/>
              <a:round/>
            </a:ln>
            <a:effectLst/>
          </c:spPr>
          <c:marker>
            <c:symbol val="diamond"/>
            <c:size val="5"/>
            <c:spPr>
              <a:solidFill>
                <a:srgbClr val="0070C0"/>
              </a:solidFill>
              <a:ln w="9525">
                <a:solidFill>
                  <a:srgbClr val="0070C0"/>
                </a:solidFill>
              </a:ln>
              <a:effectLst/>
            </c:spPr>
          </c:marker>
          <c:xVal>
            <c:numRef>
              <c:f>Sheet1!$K$42:$N$42</c:f>
              <c:numCache>
                <c:formatCode>General</c:formatCode>
                <c:ptCount val="4"/>
                <c:pt idx="0">
                  <c:v>0</c:v>
                </c:pt>
                <c:pt idx="1">
                  <c:v>0.01</c:v>
                </c:pt>
                <c:pt idx="2">
                  <c:v>0.05</c:v>
                </c:pt>
                <c:pt idx="3">
                  <c:v>0.1</c:v>
                </c:pt>
              </c:numCache>
            </c:numRef>
          </c:xVal>
          <c:yVal>
            <c:numRef>
              <c:f>Sheet1!$K$44:$N$44</c:f>
              <c:numCache>
                <c:formatCode>0.000000</c:formatCode>
                <c:ptCount val="4"/>
                <c:pt idx="0">
                  <c:v>1.179453333333333</c:v>
                </c:pt>
                <c:pt idx="1">
                  <c:v>1.1797633333333331</c:v>
                </c:pt>
                <c:pt idx="2">
                  <c:v>1.180776666666667</c:v>
                </c:pt>
                <c:pt idx="3">
                  <c:v>1.1817</c:v>
                </c:pt>
              </c:numCache>
            </c:numRef>
          </c:yVal>
          <c:smooth val="1"/>
          <c:extLst>
            <c:ext xmlns:c16="http://schemas.microsoft.com/office/drawing/2014/chart" uri="{C3380CC4-5D6E-409C-BE32-E72D297353CC}">
              <c16:uniqueId val="{00000001-C197-423B-A846-08153F72308D}"/>
            </c:ext>
          </c:extLst>
        </c:ser>
        <c:ser>
          <c:idx val="2"/>
          <c:order val="2"/>
          <c:tx>
            <c:strRef>
              <c:f>Sheet1!$J$45</c:f>
              <c:strCache>
                <c:ptCount val="1"/>
                <c:pt idx="0">
                  <c:v>90</c:v>
                </c:pt>
              </c:strCache>
            </c:strRef>
          </c:tx>
          <c:spPr>
            <a:ln w="19050" cap="rnd">
              <a:solidFill>
                <a:srgbClr val="C00000"/>
              </a:solidFill>
              <a:prstDash val="dash"/>
              <a:round/>
            </a:ln>
            <a:effectLst/>
          </c:spPr>
          <c:marker>
            <c:symbol val="x"/>
            <c:size val="5"/>
            <c:spPr>
              <a:noFill/>
              <a:ln w="9525">
                <a:solidFill>
                  <a:srgbClr val="C00000"/>
                </a:solidFill>
              </a:ln>
              <a:effectLst/>
            </c:spPr>
          </c:marker>
          <c:xVal>
            <c:numRef>
              <c:f>Sheet1!$K$42:$N$42</c:f>
              <c:numCache>
                <c:formatCode>General</c:formatCode>
                <c:ptCount val="4"/>
                <c:pt idx="0">
                  <c:v>0</c:v>
                </c:pt>
                <c:pt idx="1">
                  <c:v>0.01</c:v>
                </c:pt>
                <c:pt idx="2">
                  <c:v>0.05</c:v>
                </c:pt>
                <c:pt idx="3">
                  <c:v>0.1</c:v>
                </c:pt>
              </c:numCache>
            </c:numRef>
          </c:xVal>
          <c:yVal>
            <c:numRef>
              <c:f>Sheet1!$K$45:$N$45</c:f>
              <c:numCache>
                <c:formatCode>0.000000</c:formatCode>
                <c:ptCount val="4"/>
                <c:pt idx="0">
                  <c:v>1.1514599999999999</c:v>
                </c:pt>
                <c:pt idx="1">
                  <c:v>1.152053333333334</c:v>
                </c:pt>
                <c:pt idx="2">
                  <c:v>1.1530666666666669</c:v>
                </c:pt>
                <c:pt idx="3">
                  <c:v>1.1540999999999999</c:v>
                </c:pt>
              </c:numCache>
            </c:numRef>
          </c:yVal>
          <c:smooth val="1"/>
          <c:extLst>
            <c:ext xmlns:c16="http://schemas.microsoft.com/office/drawing/2014/chart" uri="{C3380CC4-5D6E-409C-BE32-E72D297353CC}">
              <c16:uniqueId val="{00000002-C197-423B-A846-08153F72308D}"/>
            </c:ext>
          </c:extLst>
        </c:ser>
        <c:dLbls>
          <c:showLegendKey val="0"/>
          <c:showVal val="0"/>
          <c:showCatName val="0"/>
          <c:showSerName val="0"/>
          <c:showPercent val="0"/>
          <c:showBubbleSize val="0"/>
        </c:dLbls>
        <c:axId val="1793591104"/>
        <c:axId val="1793579136"/>
      </c:scatterChart>
      <c:valAx>
        <c:axId val="1793591104"/>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3579136"/>
        <c:crosses val="autoZero"/>
        <c:crossBetween val="midCat"/>
        <c:majorUnit val="0.02"/>
      </c:valAx>
      <c:valAx>
        <c:axId val="1793579136"/>
        <c:scaling>
          <c:orientation val="minMax"/>
          <c:max val="1.19"/>
          <c:min val="1.1499999999999999"/>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Density (g/cm</a:t>
                </a:r>
                <a:r>
                  <a:rPr lang="en-MY" baseline="30000"/>
                  <a:t>3</a:t>
                </a:r>
                <a:r>
                  <a:rPr lang="en-MY"/>
                  <a:t>)</a:t>
                </a:r>
              </a:p>
            </c:rich>
          </c:tx>
          <c:overlay val="0"/>
          <c:spPr>
            <a:noFill/>
            <a:ln>
              <a:noFill/>
            </a:ln>
            <a:effectLst/>
          </c:sp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3591104"/>
        <c:crosses val="autoZero"/>
        <c:crossBetween val="midCat"/>
        <c:majorUnit val="0.01"/>
      </c:valAx>
      <c:spPr>
        <a:noFill/>
        <a:ln>
          <a:noFill/>
        </a:ln>
        <a:effectLst/>
      </c:spPr>
    </c:plotArea>
    <c:legend>
      <c:legendPos val="b"/>
      <c:layout>
        <c:manualLayout>
          <c:xMode val="edge"/>
          <c:yMode val="edge"/>
          <c:x val="0.24436465287483999"/>
          <c:y val="0.87671759348223199"/>
          <c:w val="0.59065327418416702"/>
          <c:h val="9.9759913133469297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Sheet1!$J$30</c:f>
              <c:strCache>
                <c:ptCount val="1"/>
                <c:pt idx="0">
                  <c:v>25</c:v>
                </c:pt>
              </c:strCache>
            </c:strRef>
          </c:tx>
          <c:spPr>
            <a:ln w="19050" cap="rnd">
              <a:solidFill>
                <a:srgbClr val="FF0000"/>
              </a:solidFill>
              <a:prstDash val="dash"/>
              <a:round/>
            </a:ln>
            <a:effectLst/>
          </c:spPr>
          <c:marker>
            <c:symbol val="square"/>
            <c:size val="5"/>
            <c:spPr>
              <a:solidFill>
                <a:srgbClr val="FF0000"/>
              </a:solidFill>
              <a:ln w="9525">
                <a:solidFill>
                  <a:srgbClr val="FF0000"/>
                </a:solidFill>
              </a:ln>
              <a:effectLst/>
            </c:spPr>
          </c:marker>
          <c:xVal>
            <c:numRef>
              <c:f>Sheet1!$K$29:$M$29</c:f>
              <c:numCache>
                <c:formatCode>General</c:formatCode>
                <c:ptCount val="3"/>
                <c:pt idx="0">
                  <c:v>0.01</c:v>
                </c:pt>
                <c:pt idx="1">
                  <c:v>0.05</c:v>
                </c:pt>
                <c:pt idx="2">
                  <c:v>0.1</c:v>
                </c:pt>
              </c:numCache>
            </c:numRef>
          </c:xVal>
          <c:yVal>
            <c:numRef>
              <c:f>Sheet1!$K$30:$M$30</c:f>
              <c:numCache>
                <c:formatCode>0.0%</c:formatCode>
                <c:ptCount val="3"/>
                <c:pt idx="0">
                  <c:v>8.7978332445318705E-2</c:v>
                </c:pt>
                <c:pt idx="1">
                  <c:v>5.3509296829105102E-2</c:v>
                </c:pt>
                <c:pt idx="2">
                  <c:v>0.43710835143516802</c:v>
                </c:pt>
              </c:numCache>
            </c:numRef>
          </c:yVal>
          <c:smooth val="1"/>
          <c:extLst>
            <c:ext xmlns:c16="http://schemas.microsoft.com/office/drawing/2014/chart" uri="{C3380CC4-5D6E-409C-BE32-E72D297353CC}">
              <c16:uniqueId val="{00000000-160D-40FE-B0BF-0D78997CAF92}"/>
            </c:ext>
          </c:extLst>
        </c:ser>
        <c:ser>
          <c:idx val="1"/>
          <c:order val="1"/>
          <c:tx>
            <c:strRef>
              <c:f>Sheet1!$J$31</c:f>
              <c:strCache>
                <c:ptCount val="1"/>
                <c:pt idx="0">
                  <c:v>40</c:v>
                </c:pt>
              </c:strCache>
            </c:strRef>
          </c:tx>
          <c:spPr>
            <a:ln w="19050" cap="rnd">
              <a:solidFill>
                <a:srgbClr val="FFC000"/>
              </a:solidFill>
              <a:prstDash val="dash"/>
              <a:round/>
            </a:ln>
            <a:effectLst/>
          </c:spPr>
          <c:marker>
            <c:symbol val="diamond"/>
            <c:size val="5"/>
            <c:spPr>
              <a:solidFill>
                <a:srgbClr val="FFC000"/>
              </a:solidFill>
              <a:ln w="9525">
                <a:solidFill>
                  <a:srgbClr val="FFC000"/>
                </a:solidFill>
              </a:ln>
              <a:effectLst/>
            </c:spPr>
          </c:marker>
          <c:xVal>
            <c:numRef>
              <c:f>Sheet1!$K$29:$M$29</c:f>
              <c:numCache>
                <c:formatCode>General</c:formatCode>
                <c:ptCount val="3"/>
                <c:pt idx="0">
                  <c:v>0.01</c:v>
                </c:pt>
                <c:pt idx="1">
                  <c:v>0.05</c:v>
                </c:pt>
                <c:pt idx="2">
                  <c:v>0.1</c:v>
                </c:pt>
              </c:numCache>
            </c:numRef>
          </c:xVal>
          <c:yVal>
            <c:numRef>
              <c:f>Sheet1!$K$31:$M$31</c:f>
              <c:numCache>
                <c:formatCode>0.0%</c:formatCode>
                <c:ptCount val="3"/>
                <c:pt idx="0">
                  <c:v>5.5657482097636803E-2</c:v>
                </c:pt>
                <c:pt idx="1">
                  <c:v>3.2575592413087197E-2</c:v>
                </c:pt>
                <c:pt idx="2">
                  <c:v>0.42697345251471602</c:v>
                </c:pt>
              </c:numCache>
            </c:numRef>
          </c:yVal>
          <c:smooth val="1"/>
          <c:extLst>
            <c:ext xmlns:c16="http://schemas.microsoft.com/office/drawing/2014/chart" uri="{C3380CC4-5D6E-409C-BE32-E72D297353CC}">
              <c16:uniqueId val="{00000001-160D-40FE-B0BF-0D78997CAF92}"/>
            </c:ext>
          </c:extLst>
        </c:ser>
        <c:ser>
          <c:idx val="2"/>
          <c:order val="2"/>
          <c:tx>
            <c:strRef>
              <c:f>Sheet1!$J$32</c:f>
              <c:strCache>
                <c:ptCount val="1"/>
                <c:pt idx="0">
                  <c:v>100</c:v>
                </c:pt>
              </c:strCache>
            </c:strRef>
          </c:tx>
          <c:spPr>
            <a:ln w="19050" cap="rnd">
              <a:solidFill>
                <a:srgbClr val="0070C0"/>
              </a:solidFill>
              <a:prstDash val="dash"/>
              <a:round/>
            </a:ln>
            <a:effectLst/>
          </c:spPr>
          <c:marker>
            <c:symbol val="triangle"/>
            <c:size val="5"/>
            <c:spPr>
              <a:solidFill>
                <a:srgbClr val="0070C0"/>
              </a:solidFill>
              <a:ln w="9525">
                <a:solidFill>
                  <a:srgbClr val="0070C0"/>
                </a:solidFill>
              </a:ln>
              <a:effectLst/>
            </c:spPr>
          </c:marker>
          <c:xVal>
            <c:numRef>
              <c:f>Sheet1!$K$29:$M$29</c:f>
              <c:numCache>
                <c:formatCode>General</c:formatCode>
                <c:ptCount val="3"/>
                <c:pt idx="0">
                  <c:v>0.01</c:v>
                </c:pt>
                <c:pt idx="1">
                  <c:v>0.05</c:v>
                </c:pt>
                <c:pt idx="2">
                  <c:v>0.1</c:v>
                </c:pt>
              </c:numCache>
            </c:numRef>
          </c:xVal>
          <c:yVal>
            <c:numRef>
              <c:f>Sheet1!$K$32:$M$32</c:f>
              <c:numCache>
                <c:formatCode>0.0%</c:formatCode>
                <c:ptCount val="3"/>
                <c:pt idx="0">
                  <c:v>8.2549103190477605E-2</c:v>
                </c:pt>
                <c:pt idx="1">
                  <c:v>0.22130045578253599</c:v>
                </c:pt>
                <c:pt idx="2">
                  <c:v>2.4240679411089601</c:v>
                </c:pt>
              </c:numCache>
            </c:numRef>
          </c:yVal>
          <c:smooth val="1"/>
          <c:extLst>
            <c:ext xmlns:c16="http://schemas.microsoft.com/office/drawing/2014/chart" uri="{C3380CC4-5D6E-409C-BE32-E72D297353CC}">
              <c16:uniqueId val="{00000002-160D-40FE-B0BF-0D78997CAF92}"/>
            </c:ext>
          </c:extLst>
        </c:ser>
        <c:dLbls>
          <c:showLegendKey val="0"/>
          <c:showVal val="0"/>
          <c:showCatName val="0"/>
          <c:showSerName val="0"/>
          <c:showPercent val="0"/>
          <c:showBubbleSize val="0"/>
        </c:dLbls>
        <c:axId val="1946662032"/>
        <c:axId val="1946671824"/>
      </c:scatterChart>
      <c:valAx>
        <c:axId val="1946662032"/>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71824"/>
        <c:crosses val="autoZero"/>
        <c:crossBetween val="midCat"/>
      </c:valAx>
      <c:valAx>
        <c:axId val="1946671824"/>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Enhancement of Dynamic Viscosity (%)</a:t>
                </a:r>
              </a:p>
            </c:rich>
          </c:tx>
          <c:overlay val="0"/>
          <c:spPr>
            <a:noFill/>
            <a:ln>
              <a:noFill/>
            </a:ln>
            <a:effectLst/>
          </c:spPr>
        </c:title>
        <c:numFmt formatCode="0.0%" sourceLinked="1"/>
        <c:majorTickMark val="none"/>
        <c:minorTickMark val="none"/>
        <c:tickLblPos val="nextTo"/>
        <c:spPr>
          <a:noFill/>
          <a:ln w="9525" cap="flat" cmpd="sng" algn="ctr">
            <a:noFill/>
            <a:round/>
          </a:ln>
          <a:effectLst/>
        </c:spPr>
        <c:txPr>
          <a:bodyPr rot="-60000000" vert="horz"/>
          <a:lstStyle/>
          <a:p>
            <a:pPr>
              <a:defRPr b="1"/>
            </a:pPr>
            <a:endParaRPr lang="en-US"/>
          </a:p>
        </c:txPr>
        <c:crossAx val="1946662032"/>
        <c:crosses val="autoZero"/>
        <c:crossBetween val="midCat"/>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Sheet1!$J$35</c:f>
              <c:strCache>
                <c:ptCount val="1"/>
                <c:pt idx="0">
                  <c:v>25</c:v>
                </c:pt>
              </c:strCache>
            </c:strRef>
          </c:tx>
          <c:spPr>
            <a:ln w="19050" cap="rnd">
              <a:solidFill>
                <a:srgbClr val="FF0000"/>
              </a:solidFill>
              <a:prstDash val="dash"/>
              <a:round/>
            </a:ln>
            <a:effectLst/>
          </c:spPr>
          <c:marker>
            <c:symbol val="square"/>
            <c:size val="5"/>
            <c:spPr>
              <a:solidFill>
                <a:srgbClr val="FF0000"/>
              </a:solidFill>
              <a:ln w="9525">
                <a:solidFill>
                  <a:srgbClr val="FF0000"/>
                </a:solidFill>
              </a:ln>
              <a:effectLst/>
            </c:spPr>
          </c:marker>
          <c:xVal>
            <c:numRef>
              <c:f>Sheet1!$K$34:$M$34</c:f>
              <c:numCache>
                <c:formatCode>General</c:formatCode>
                <c:ptCount val="3"/>
                <c:pt idx="0">
                  <c:v>0.01</c:v>
                </c:pt>
                <c:pt idx="1">
                  <c:v>0.05</c:v>
                </c:pt>
                <c:pt idx="2">
                  <c:v>0.1</c:v>
                </c:pt>
              </c:numCache>
            </c:numRef>
          </c:xVal>
          <c:yVal>
            <c:numRef>
              <c:f>Sheet1!$K$35:$M$35</c:f>
              <c:numCache>
                <c:formatCode>0.0%</c:formatCode>
                <c:ptCount val="3"/>
                <c:pt idx="0">
                  <c:v>0.130207078189301</c:v>
                </c:pt>
                <c:pt idx="1">
                  <c:v>0.30125563786008203</c:v>
                </c:pt>
                <c:pt idx="2">
                  <c:v>0.40969251028806603</c:v>
                </c:pt>
              </c:numCache>
            </c:numRef>
          </c:yVal>
          <c:smooth val="1"/>
          <c:extLst>
            <c:ext xmlns:c16="http://schemas.microsoft.com/office/drawing/2014/chart" uri="{C3380CC4-5D6E-409C-BE32-E72D297353CC}">
              <c16:uniqueId val="{00000000-9E52-4B15-8218-ED28BD657258}"/>
            </c:ext>
          </c:extLst>
        </c:ser>
        <c:ser>
          <c:idx val="1"/>
          <c:order val="1"/>
          <c:tx>
            <c:strRef>
              <c:f>Sheet1!$J$36</c:f>
              <c:strCache>
                <c:ptCount val="1"/>
                <c:pt idx="0">
                  <c:v>40</c:v>
                </c:pt>
              </c:strCache>
            </c:strRef>
          </c:tx>
          <c:spPr>
            <a:ln w="19050" cap="rnd">
              <a:solidFill>
                <a:srgbClr val="FFC000"/>
              </a:solidFill>
              <a:prstDash val="dash"/>
              <a:round/>
            </a:ln>
            <a:effectLst/>
          </c:spPr>
          <c:marker>
            <c:symbol val="diamond"/>
            <c:size val="5"/>
            <c:spPr>
              <a:solidFill>
                <a:srgbClr val="FFC000"/>
              </a:solidFill>
              <a:ln w="9525">
                <a:solidFill>
                  <a:srgbClr val="FFC000"/>
                </a:solidFill>
              </a:ln>
              <a:effectLst/>
            </c:spPr>
          </c:marker>
          <c:xVal>
            <c:numRef>
              <c:f>Sheet1!$K$34:$M$34</c:f>
              <c:numCache>
                <c:formatCode>General</c:formatCode>
                <c:ptCount val="3"/>
                <c:pt idx="0">
                  <c:v>0.01</c:v>
                </c:pt>
                <c:pt idx="1">
                  <c:v>0.05</c:v>
                </c:pt>
                <c:pt idx="2">
                  <c:v>0.1</c:v>
                </c:pt>
              </c:numCache>
            </c:numRef>
          </c:xVal>
          <c:yVal>
            <c:numRef>
              <c:f>Sheet1!$K$36:$M$36</c:f>
              <c:numCache>
                <c:formatCode>0.0%</c:formatCode>
                <c:ptCount val="3"/>
                <c:pt idx="0">
                  <c:v>7.2151885289431797E-2</c:v>
                </c:pt>
                <c:pt idx="1">
                  <c:v>0.257711099309612</c:v>
                </c:pt>
                <c:pt idx="2">
                  <c:v>0.42905965657638501</c:v>
                </c:pt>
              </c:numCache>
            </c:numRef>
          </c:yVal>
          <c:smooth val="1"/>
          <c:extLst>
            <c:ext xmlns:c16="http://schemas.microsoft.com/office/drawing/2014/chart" uri="{C3380CC4-5D6E-409C-BE32-E72D297353CC}">
              <c16:uniqueId val="{00000001-9E52-4B15-8218-ED28BD657258}"/>
            </c:ext>
          </c:extLst>
        </c:ser>
        <c:ser>
          <c:idx val="2"/>
          <c:order val="2"/>
          <c:tx>
            <c:strRef>
              <c:f>Sheet1!$J$37</c:f>
              <c:strCache>
                <c:ptCount val="1"/>
                <c:pt idx="0">
                  <c:v>100</c:v>
                </c:pt>
              </c:strCache>
            </c:strRef>
          </c:tx>
          <c:spPr>
            <a:ln w="19050" cap="rnd">
              <a:solidFill>
                <a:srgbClr val="0070C0"/>
              </a:solidFill>
              <a:prstDash val="dash"/>
              <a:round/>
            </a:ln>
            <a:effectLst/>
          </c:spPr>
          <c:marker>
            <c:symbol val="triangle"/>
            <c:size val="5"/>
            <c:spPr>
              <a:solidFill>
                <a:srgbClr val="0070C0"/>
              </a:solidFill>
              <a:ln w="9525">
                <a:solidFill>
                  <a:srgbClr val="0070C0"/>
                </a:solidFill>
              </a:ln>
              <a:effectLst/>
            </c:spPr>
          </c:marker>
          <c:xVal>
            <c:numRef>
              <c:f>Sheet1!$K$34:$M$34</c:f>
              <c:numCache>
                <c:formatCode>General</c:formatCode>
                <c:ptCount val="3"/>
                <c:pt idx="0">
                  <c:v>0.01</c:v>
                </c:pt>
                <c:pt idx="1">
                  <c:v>0.05</c:v>
                </c:pt>
                <c:pt idx="2">
                  <c:v>0.1</c:v>
                </c:pt>
              </c:numCache>
            </c:numRef>
          </c:xVal>
          <c:yVal>
            <c:numRef>
              <c:f>Sheet1!$K$37:$M$37</c:f>
              <c:numCache>
                <c:formatCode>0.0%</c:formatCode>
                <c:ptCount val="3"/>
                <c:pt idx="0">
                  <c:v>0.102401635155851</c:v>
                </c:pt>
                <c:pt idx="1">
                  <c:v>0.424190688027894</c:v>
                </c:pt>
                <c:pt idx="2">
                  <c:v>2.5529471880729799</c:v>
                </c:pt>
              </c:numCache>
            </c:numRef>
          </c:yVal>
          <c:smooth val="1"/>
          <c:extLst>
            <c:ext xmlns:c16="http://schemas.microsoft.com/office/drawing/2014/chart" uri="{C3380CC4-5D6E-409C-BE32-E72D297353CC}">
              <c16:uniqueId val="{00000002-9E52-4B15-8218-ED28BD657258}"/>
            </c:ext>
          </c:extLst>
        </c:ser>
        <c:dLbls>
          <c:showLegendKey val="0"/>
          <c:showVal val="0"/>
          <c:showCatName val="0"/>
          <c:showSerName val="0"/>
          <c:showPercent val="0"/>
          <c:showBubbleSize val="0"/>
        </c:dLbls>
        <c:axId val="1946678352"/>
        <c:axId val="1946669104"/>
      </c:scatterChart>
      <c:valAx>
        <c:axId val="1946678352"/>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a:t>Concnetration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69104"/>
        <c:crosses val="autoZero"/>
        <c:crossBetween val="midCat"/>
      </c:valAx>
      <c:valAx>
        <c:axId val="1946669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Enhancement of Dynamic Viscosity (%)</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b="1"/>
            </a:pPr>
            <a:endParaRPr lang="en-US"/>
          </a:p>
        </c:txPr>
        <c:crossAx val="1946678352"/>
        <c:crosses val="autoZero"/>
        <c:crossBetween val="midCat"/>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Sheet1!$J$40</c:f>
              <c:strCache>
                <c:ptCount val="1"/>
                <c:pt idx="0">
                  <c:v>25</c:v>
                </c:pt>
              </c:strCache>
            </c:strRef>
          </c:tx>
          <c:spPr>
            <a:ln w="19050" cap="rnd">
              <a:solidFill>
                <a:srgbClr val="FF0000"/>
              </a:solidFill>
              <a:prstDash val="dash"/>
              <a:round/>
            </a:ln>
            <a:effectLst/>
          </c:spPr>
          <c:marker>
            <c:symbol val="square"/>
            <c:size val="5"/>
            <c:spPr>
              <a:solidFill>
                <a:srgbClr val="FF0000"/>
              </a:solidFill>
              <a:ln w="9525">
                <a:solidFill>
                  <a:srgbClr val="FF0000"/>
                </a:solidFill>
              </a:ln>
              <a:effectLst/>
            </c:spPr>
          </c:marker>
          <c:xVal>
            <c:numRef>
              <c:f>Sheet1!$K$39:$M$39</c:f>
              <c:numCache>
                <c:formatCode>General</c:formatCode>
                <c:ptCount val="3"/>
                <c:pt idx="0">
                  <c:v>0.01</c:v>
                </c:pt>
                <c:pt idx="1">
                  <c:v>0.05</c:v>
                </c:pt>
                <c:pt idx="2">
                  <c:v>0.1</c:v>
                </c:pt>
              </c:numCache>
            </c:numRef>
          </c:xVal>
          <c:yVal>
            <c:numRef>
              <c:f>Sheet1!$K$40:$M$40</c:f>
              <c:numCache>
                <c:formatCode>0.0%</c:formatCode>
                <c:ptCount val="3"/>
                <c:pt idx="0">
                  <c:v>-3.0403568394222799E-2</c:v>
                </c:pt>
                <c:pt idx="1">
                  <c:v>0.241490399320306</c:v>
                </c:pt>
                <c:pt idx="2">
                  <c:v>0.46287476635514002</c:v>
                </c:pt>
              </c:numCache>
            </c:numRef>
          </c:yVal>
          <c:smooth val="1"/>
          <c:extLst>
            <c:ext xmlns:c16="http://schemas.microsoft.com/office/drawing/2014/chart" uri="{C3380CC4-5D6E-409C-BE32-E72D297353CC}">
              <c16:uniqueId val="{00000000-5E7F-414E-BDC1-401F9DB0765D}"/>
            </c:ext>
          </c:extLst>
        </c:ser>
        <c:ser>
          <c:idx val="1"/>
          <c:order val="1"/>
          <c:tx>
            <c:strRef>
              <c:f>Sheet1!$J$41</c:f>
              <c:strCache>
                <c:ptCount val="1"/>
                <c:pt idx="0">
                  <c:v>40</c:v>
                </c:pt>
              </c:strCache>
            </c:strRef>
          </c:tx>
          <c:spPr>
            <a:ln w="19050" cap="rnd">
              <a:solidFill>
                <a:srgbClr val="FFC000"/>
              </a:solidFill>
              <a:prstDash val="dash"/>
              <a:round/>
            </a:ln>
            <a:effectLst/>
          </c:spPr>
          <c:marker>
            <c:symbol val="diamond"/>
            <c:size val="5"/>
            <c:spPr>
              <a:solidFill>
                <a:srgbClr val="FFC000"/>
              </a:solidFill>
              <a:ln w="9525">
                <a:solidFill>
                  <a:srgbClr val="FFC000"/>
                </a:solidFill>
              </a:ln>
              <a:effectLst/>
            </c:spPr>
          </c:marker>
          <c:xVal>
            <c:numRef>
              <c:f>Sheet1!$K$39:$M$39</c:f>
              <c:numCache>
                <c:formatCode>General</c:formatCode>
                <c:ptCount val="3"/>
                <c:pt idx="0">
                  <c:v>0.01</c:v>
                </c:pt>
                <c:pt idx="1">
                  <c:v>0.05</c:v>
                </c:pt>
                <c:pt idx="2">
                  <c:v>0.1</c:v>
                </c:pt>
              </c:numCache>
            </c:numRef>
          </c:xVal>
          <c:yVal>
            <c:numRef>
              <c:f>Sheet1!$K$41:$M$41</c:f>
              <c:numCache>
                <c:formatCode>0.0%</c:formatCode>
                <c:ptCount val="3"/>
                <c:pt idx="0">
                  <c:v>-3.3262490806150798E-2</c:v>
                </c:pt>
                <c:pt idx="1">
                  <c:v>0.19917469168533899</c:v>
                </c:pt>
                <c:pt idx="2">
                  <c:v>0.42207207977695299</c:v>
                </c:pt>
              </c:numCache>
            </c:numRef>
          </c:yVal>
          <c:smooth val="1"/>
          <c:extLst>
            <c:ext xmlns:c16="http://schemas.microsoft.com/office/drawing/2014/chart" uri="{C3380CC4-5D6E-409C-BE32-E72D297353CC}">
              <c16:uniqueId val="{00000001-5E7F-414E-BDC1-401F9DB0765D}"/>
            </c:ext>
          </c:extLst>
        </c:ser>
        <c:ser>
          <c:idx val="2"/>
          <c:order val="2"/>
          <c:tx>
            <c:strRef>
              <c:f>Sheet1!$J$42</c:f>
              <c:strCache>
                <c:ptCount val="1"/>
                <c:pt idx="0">
                  <c:v>100</c:v>
                </c:pt>
              </c:strCache>
            </c:strRef>
          </c:tx>
          <c:spPr>
            <a:ln w="19050" cap="rnd">
              <a:solidFill>
                <a:srgbClr val="0070C0"/>
              </a:solidFill>
              <a:prstDash val="dash"/>
              <a:round/>
            </a:ln>
            <a:effectLst/>
          </c:spPr>
          <c:marker>
            <c:symbol val="triangle"/>
            <c:size val="5"/>
            <c:spPr>
              <a:solidFill>
                <a:srgbClr val="0070C0"/>
              </a:solidFill>
              <a:ln w="9525">
                <a:solidFill>
                  <a:srgbClr val="0070C0"/>
                </a:solidFill>
              </a:ln>
              <a:effectLst/>
            </c:spPr>
          </c:marker>
          <c:xVal>
            <c:numRef>
              <c:f>Sheet1!$K$39:$M$39</c:f>
              <c:numCache>
                <c:formatCode>General</c:formatCode>
                <c:ptCount val="3"/>
                <c:pt idx="0">
                  <c:v>0.01</c:v>
                </c:pt>
                <c:pt idx="1">
                  <c:v>0.05</c:v>
                </c:pt>
                <c:pt idx="2">
                  <c:v>0.1</c:v>
                </c:pt>
              </c:numCache>
            </c:numRef>
          </c:xVal>
          <c:yVal>
            <c:numRef>
              <c:f>Sheet1!$K$42:$M$42</c:f>
              <c:numCache>
                <c:formatCode>0.0%</c:formatCode>
                <c:ptCount val="3"/>
                <c:pt idx="0">
                  <c:v>2.9224089982077602E-2</c:v>
                </c:pt>
                <c:pt idx="1">
                  <c:v>0.39544579033022298</c:v>
                </c:pt>
                <c:pt idx="2">
                  <c:v>0.88595420554971904</c:v>
                </c:pt>
              </c:numCache>
            </c:numRef>
          </c:yVal>
          <c:smooth val="1"/>
          <c:extLst>
            <c:ext xmlns:c16="http://schemas.microsoft.com/office/drawing/2014/chart" uri="{C3380CC4-5D6E-409C-BE32-E72D297353CC}">
              <c16:uniqueId val="{00000002-5E7F-414E-BDC1-401F9DB0765D}"/>
            </c:ext>
          </c:extLst>
        </c:ser>
        <c:dLbls>
          <c:showLegendKey val="0"/>
          <c:showVal val="0"/>
          <c:showCatName val="0"/>
          <c:showSerName val="0"/>
          <c:showPercent val="0"/>
          <c:showBubbleSize val="0"/>
        </c:dLbls>
        <c:axId val="1946678896"/>
        <c:axId val="1946677264"/>
      </c:scatterChart>
      <c:valAx>
        <c:axId val="1946678896"/>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sz="900"/>
                </a:pPr>
                <a:r>
                  <a:rPr lang="en-MY" sz="900"/>
                  <a:t>Concnetration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77264"/>
        <c:crosses val="autoZero"/>
        <c:crossBetween val="midCat"/>
      </c:valAx>
      <c:valAx>
        <c:axId val="1946677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Enhancement of Dynamic Viscosity (%)</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b="1"/>
            </a:pPr>
            <a:endParaRPr lang="en-US"/>
          </a:p>
        </c:txPr>
        <c:crossAx val="1946678896"/>
        <c:crosses val="autoZero"/>
        <c:crossBetween val="midCat"/>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Sheet1!$J$45</c:f>
              <c:strCache>
                <c:ptCount val="1"/>
                <c:pt idx="0">
                  <c:v>25</c:v>
                </c:pt>
              </c:strCache>
            </c:strRef>
          </c:tx>
          <c:spPr>
            <a:ln w="19050" cap="rnd">
              <a:solidFill>
                <a:srgbClr val="FF0000"/>
              </a:solidFill>
              <a:prstDash val="dash"/>
              <a:round/>
            </a:ln>
            <a:effectLst/>
          </c:spPr>
          <c:marker>
            <c:symbol val="square"/>
            <c:size val="5"/>
            <c:spPr>
              <a:solidFill>
                <a:srgbClr val="FF0000"/>
              </a:solidFill>
              <a:ln w="9525">
                <a:solidFill>
                  <a:srgbClr val="FF0000"/>
                </a:solidFill>
              </a:ln>
              <a:effectLst/>
            </c:spPr>
          </c:marker>
          <c:xVal>
            <c:numRef>
              <c:f>Sheet1!$K$44:$M$44</c:f>
              <c:numCache>
                <c:formatCode>General</c:formatCode>
                <c:ptCount val="3"/>
                <c:pt idx="0">
                  <c:v>0.01</c:v>
                </c:pt>
                <c:pt idx="1">
                  <c:v>0.05</c:v>
                </c:pt>
                <c:pt idx="2">
                  <c:v>0.1</c:v>
                </c:pt>
              </c:numCache>
            </c:numRef>
          </c:xVal>
          <c:yVal>
            <c:numRef>
              <c:f>Sheet1!$K$45:$M$45</c:f>
              <c:numCache>
                <c:formatCode>0.0%</c:formatCode>
                <c:ptCount val="3"/>
                <c:pt idx="0">
                  <c:v>5.9201696805689496E-3</c:v>
                </c:pt>
                <c:pt idx="1">
                  <c:v>0.22675723610831799</c:v>
                </c:pt>
                <c:pt idx="2">
                  <c:v>0.46147428278875802</c:v>
                </c:pt>
              </c:numCache>
            </c:numRef>
          </c:yVal>
          <c:smooth val="1"/>
          <c:extLst>
            <c:ext xmlns:c16="http://schemas.microsoft.com/office/drawing/2014/chart" uri="{C3380CC4-5D6E-409C-BE32-E72D297353CC}">
              <c16:uniqueId val="{00000000-2178-44EB-B0F6-C05B37C2ED6D}"/>
            </c:ext>
          </c:extLst>
        </c:ser>
        <c:ser>
          <c:idx val="1"/>
          <c:order val="1"/>
          <c:tx>
            <c:strRef>
              <c:f>Sheet1!$J$46</c:f>
              <c:strCache>
                <c:ptCount val="1"/>
                <c:pt idx="0">
                  <c:v>40</c:v>
                </c:pt>
              </c:strCache>
            </c:strRef>
          </c:tx>
          <c:spPr>
            <a:ln w="19050" cap="rnd">
              <a:solidFill>
                <a:srgbClr val="FFC000"/>
              </a:solidFill>
              <a:prstDash val="dash"/>
              <a:round/>
            </a:ln>
            <a:effectLst/>
          </c:spPr>
          <c:marker>
            <c:symbol val="diamond"/>
            <c:size val="5"/>
            <c:spPr>
              <a:solidFill>
                <a:srgbClr val="FFC000"/>
              </a:solidFill>
              <a:ln w="9525">
                <a:solidFill>
                  <a:srgbClr val="FFC000"/>
                </a:solidFill>
              </a:ln>
              <a:effectLst/>
            </c:spPr>
          </c:marker>
          <c:xVal>
            <c:numRef>
              <c:f>Sheet1!$K$44:$M$44</c:f>
              <c:numCache>
                <c:formatCode>General</c:formatCode>
                <c:ptCount val="3"/>
                <c:pt idx="0">
                  <c:v>0.01</c:v>
                </c:pt>
                <c:pt idx="1">
                  <c:v>0.05</c:v>
                </c:pt>
                <c:pt idx="2">
                  <c:v>0.1</c:v>
                </c:pt>
              </c:numCache>
            </c:numRef>
          </c:xVal>
          <c:yVal>
            <c:numRef>
              <c:f>Sheet1!$K$46:$M$46</c:f>
              <c:numCache>
                <c:formatCode>0.0%</c:formatCode>
                <c:ptCount val="3"/>
                <c:pt idx="0">
                  <c:v>-2.9554261806267199E-3</c:v>
                </c:pt>
                <c:pt idx="1">
                  <c:v>0.17749490631616799</c:v>
                </c:pt>
                <c:pt idx="2">
                  <c:v>0.36857024562270102</c:v>
                </c:pt>
              </c:numCache>
            </c:numRef>
          </c:yVal>
          <c:smooth val="1"/>
          <c:extLst>
            <c:ext xmlns:c16="http://schemas.microsoft.com/office/drawing/2014/chart" uri="{C3380CC4-5D6E-409C-BE32-E72D297353CC}">
              <c16:uniqueId val="{00000001-2178-44EB-B0F6-C05B37C2ED6D}"/>
            </c:ext>
          </c:extLst>
        </c:ser>
        <c:ser>
          <c:idx val="2"/>
          <c:order val="2"/>
          <c:tx>
            <c:strRef>
              <c:f>Sheet1!$J$47</c:f>
              <c:strCache>
                <c:ptCount val="1"/>
                <c:pt idx="0">
                  <c:v>100</c:v>
                </c:pt>
              </c:strCache>
            </c:strRef>
          </c:tx>
          <c:spPr>
            <a:ln w="19050" cap="rnd">
              <a:solidFill>
                <a:srgbClr val="0070C0"/>
              </a:solidFill>
              <a:prstDash val="dash"/>
              <a:round/>
            </a:ln>
            <a:effectLst/>
          </c:spPr>
          <c:marker>
            <c:symbol val="triangle"/>
            <c:size val="5"/>
            <c:spPr>
              <a:solidFill>
                <a:srgbClr val="0070C0"/>
              </a:solidFill>
              <a:ln w="9525">
                <a:solidFill>
                  <a:srgbClr val="0070C0"/>
                </a:solidFill>
              </a:ln>
              <a:effectLst/>
            </c:spPr>
          </c:marker>
          <c:xVal>
            <c:numRef>
              <c:f>Sheet1!$K$44:$M$44</c:f>
              <c:numCache>
                <c:formatCode>General</c:formatCode>
                <c:ptCount val="3"/>
                <c:pt idx="0">
                  <c:v>0.01</c:v>
                </c:pt>
                <c:pt idx="1">
                  <c:v>0.05</c:v>
                </c:pt>
                <c:pt idx="2">
                  <c:v>0.1</c:v>
                </c:pt>
              </c:numCache>
            </c:numRef>
          </c:xVal>
          <c:yVal>
            <c:numRef>
              <c:f>Sheet1!$K$47:$M$47</c:f>
              <c:numCache>
                <c:formatCode>0.0%</c:formatCode>
                <c:ptCount val="3"/>
                <c:pt idx="0">
                  <c:v>5.5017707089122299E-2</c:v>
                </c:pt>
                <c:pt idx="1">
                  <c:v>0.33645302906477198</c:v>
                </c:pt>
                <c:pt idx="2">
                  <c:v>0.84767974267094204</c:v>
                </c:pt>
              </c:numCache>
            </c:numRef>
          </c:yVal>
          <c:smooth val="1"/>
          <c:extLst>
            <c:ext xmlns:c16="http://schemas.microsoft.com/office/drawing/2014/chart" uri="{C3380CC4-5D6E-409C-BE32-E72D297353CC}">
              <c16:uniqueId val="{00000002-2178-44EB-B0F6-C05B37C2ED6D}"/>
            </c:ext>
          </c:extLst>
        </c:ser>
        <c:dLbls>
          <c:showLegendKey val="0"/>
          <c:showVal val="0"/>
          <c:showCatName val="0"/>
          <c:showSerName val="0"/>
          <c:showPercent val="0"/>
          <c:showBubbleSize val="0"/>
        </c:dLbls>
        <c:axId val="1946656592"/>
        <c:axId val="1946665840"/>
      </c:scatterChart>
      <c:valAx>
        <c:axId val="1946656592"/>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sz="900"/>
                  <a:t>Concnetration</a:t>
                </a:r>
                <a:r>
                  <a:rPr lang="en-MY"/>
                  <a:t>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65840"/>
        <c:crosses val="autoZero"/>
        <c:crossBetween val="midCat"/>
      </c:valAx>
      <c:valAx>
        <c:axId val="194666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Enhancement of Dynamic Viscosity (%)</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b="1"/>
            </a:pPr>
            <a:endParaRPr lang="en-US"/>
          </a:p>
        </c:txPr>
        <c:crossAx val="1946656592"/>
        <c:crosses val="autoZero"/>
        <c:crossBetween val="midCat"/>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Sheet1!$J$50</c:f>
              <c:strCache>
                <c:ptCount val="1"/>
                <c:pt idx="0">
                  <c:v>25</c:v>
                </c:pt>
              </c:strCache>
            </c:strRef>
          </c:tx>
          <c:spPr>
            <a:ln w="19050" cap="rnd">
              <a:solidFill>
                <a:srgbClr val="FF0000"/>
              </a:solidFill>
              <a:prstDash val="dash"/>
              <a:round/>
            </a:ln>
            <a:effectLst/>
          </c:spPr>
          <c:marker>
            <c:symbol val="square"/>
            <c:size val="5"/>
            <c:spPr>
              <a:solidFill>
                <a:srgbClr val="FF0000"/>
              </a:solidFill>
              <a:ln w="9525">
                <a:solidFill>
                  <a:srgbClr val="FF0000"/>
                </a:solidFill>
              </a:ln>
              <a:effectLst/>
            </c:spPr>
          </c:marker>
          <c:xVal>
            <c:numRef>
              <c:f>Sheet1!$K$49:$M$49</c:f>
              <c:numCache>
                <c:formatCode>General</c:formatCode>
                <c:ptCount val="3"/>
                <c:pt idx="0">
                  <c:v>0.01</c:v>
                </c:pt>
                <c:pt idx="1">
                  <c:v>0.05</c:v>
                </c:pt>
                <c:pt idx="2">
                  <c:v>0.1</c:v>
                </c:pt>
              </c:numCache>
            </c:numRef>
          </c:xVal>
          <c:yVal>
            <c:numRef>
              <c:f>Sheet1!$K$50:$M$50</c:f>
              <c:numCache>
                <c:formatCode>0.0%</c:formatCode>
                <c:ptCount val="3"/>
                <c:pt idx="0">
                  <c:v>3.4364333880440502E-2</c:v>
                </c:pt>
                <c:pt idx="1">
                  <c:v>0.234355237398406</c:v>
                </c:pt>
                <c:pt idx="2">
                  <c:v>0.50614704660958298</c:v>
                </c:pt>
              </c:numCache>
            </c:numRef>
          </c:yVal>
          <c:smooth val="1"/>
          <c:extLst>
            <c:ext xmlns:c16="http://schemas.microsoft.com/office/drawing/2014/chart" uri="{C3380CC4-5D6E-409C-BE32-E72D297353CC}">
              <c16:uniqueId val="{00000000-4B24-4A6D-A552-22458A45E43C}"/>
            </c:ext>
          </c:extLst>
        </c:ser>
        <c:ser>
          <c:idx val="1"/>
          <c:order val="1"/>
          <c:tx>
            <c:strRef>
              <c:f>Sheet1!$J$51</c:f>
              <c:strCache>
                <c:ptCount val="1"/>
                <c:pt idx="0">
                  <c:v>40</c:v>
                </c:pt>
              </c:strCache>
            </c:strRef>
          </c:tx>
          <c:spPr>
            <a:ln w="19050" cap="rnd">
              <a:solidFill>
                <a:srgbClr val="FFC000"/>
              </a:solidFill>
              <a:prstDash val="dash"/>
              <a:round/>
            </a:ln>
            <a:effectLst/>
          </c:spPr>
          <c:marker>
            <c:symbol val="diamond"/>
            <c:size val="5"/>
            <c:spPr>
              <a:solidFill>
                <a:srgbClr val="FFC000"/>
              </a:solidFill>
              <a:ln w="9525">
                <a:solidFill>
                  <a:srgbClr val="FFC000"/>
                </a:solidFill>
              </a:ln>
              <a:effectLst/>
            </c:spPr>
          </c:marker>
          <c:xVal>
            <c:numRef>
              <c:f>Sheet1!$K$49:$M$49</c:f>
              <c:numCache>
                <c:formatCode>General</c:formatCode>
                <c:ptCount val="3"/>
                <c:pt idx="0">
                  <c:v>0.01</c:v>
                </c:pt>
                <c:pt idx="1">
                  <c:v>0.05</c:v>
                </c:pt>
                <c:pt idx="2">
                  <c:v>0.1</c:v>
                </c:pt>
              </c:numCache>
            </c:numRef>
          </c:xVal>
          <c:yVal>
            <c:numRef>
              <c:f>Sheet1!$K$51:$M$51</c:f>
              <c:numCache>
                <c:formatCode>0.0%</c:formatCode>
                <c:ptCount val="3"/>
                <c:pt idx="0">
                  <c:v>4.8872165408404299E-2</c:v>
                </c:pt>
                <c:pt idx="1">
                  <c:v>0.229744342820902</c:v>
                </c:pt>
                <c:pt idx="2">
                  <c:v>0.52443583261892301</c:v>
                </c:pt>
              </c:numCache>
            </c:numRef>
          </c:yVal>
          <c:smooth val="1"/>
          <c:extLst>
            <c:ext xmlns:c16="http://schemas.microsoft.com/office/drawing/2014/chart" uri="{C3380CC4-5D6E-409C-BE32-E72D297353CC}">
              <c16:uniqueId val="{00000001-4B24-4A6D-A552-22458A45E43C}"/>
            </c:ext>
          </c:extLst>
        </c:ser>
        <c:ser>
          <c:idx val="2"/>
          <c:order val="2"/>
          <c:tx>
            <c:strRef>
              <c:f>Sheet1!$J$52</c:f>
              <c:strCache>
                <c:ptCount val="1"/>
                <c:pt idx="0">
                  <c:v>100</c:v>
                </c:pt>
              </c:strCache>
            </c:strRef>
          </c:tx>
          <c:spPr>
            <a:ln w="19050" cap="rnd">
              <a:solidFill>
                <a:srgbClr val="0070C0"/>
              </a:solidFill>
              <a:prstDash val="dash"/>
              <a:round/>
            </a:ln>
            <a:effectLst/>
          </c:spPr>
          <c:marker>
            <c:symbol val="triangle"/>
            <c:size val="5"/>
            <c:spPr>
              <a:solidFill>
                <a:srgbClr val="0070C0"/>
              </a:solidFill>
              <a:ln w="9525">
                <a:solidFill>
                  <a:srgbClr val="0070C0"/>
                </a:solidFill>
              </a:ln>
              <a:effectLst/>
            </c:spPr>
          </c:marker>
          <c:xVal>
            <c:numRef>
              <c:f>Sheet1!$K$49:$M$49</c:f>
              <c:numCache>
                <c:formatCode>General</c:formatCode>
                <c:ptCount val="3"/>
                <c:pt idx="0">
                  <c:v>0.01</c:v>
                </c:pt>
                <c:pt idx="1">
                  <c:v>0.05</c:v>
                </c:pt>
                <c:pt idx="2">
                  <c:v>0.1</c:v>
                </c:pt>
              </c:numCache>
            </c:numRef>
          </c:xVal>
          <c:yVal>
            <c:numRef>
              <c:f>Sheet1!$K$52:$M$52</c:f>
              <c:numCache>
                <c:formatCode>0.0%</c:formatCode>
                <c:ptCount val="3"/>
                <c:pt idx="0">
                  <c:v>0.113262183913897</c:v>
                </c:pt>
                <c:pt idx="1">
                  <c:v>0.41610250493464801</c:v>
                </c:pt>
                <c:pt idx="2">
                  <c:v>1.044595641673878</c:v>
                </c:pt>
              </c:numCache>
            </c:numRef>
          </c:yVal>
          <c:smooth val="1"/>
          <c:extLst>
            <c:ext xmlns:c16="http://schemas.microsoft.com/office/drawing/2014/chart" uri="{C3380CC4-5D6E-409C-BE32-E72D297353CC}">
              <c16:uniqueId val="{00000002-4B24-4A6D-A552-22458A45E43C}"/>
            </c:ext>
          </c:extLst>
        </c:ser>
        <c:dLbls>
          <c:showLegendKey val="0"/>
          <c:showVal val="0"/>
          <c:showCatName val="0"/>
          <c:showSerName val="0"/>
          <c:showPercent val="0"/>
          <c:showBubbleSize val="0"/>
        </c:dLbls>
        <c:axId val="1946657136"/>
        <c:axId val="1946654960"/>
      </c:scatterChart>
      <c:valAx>
        <c:axId val="1946657136"/>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sz="900"/>
                </a:pPr>
                <a:r>
                  <a:rPr lang="en-MY" sz="900"/>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54960"/>
        <c:crosses val="autoZero"/>
        <c:crossBetween val="midCat"/>
      </c:valAx>
      <c:valAx>
        <c:axId val="194665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Enhancement of Dynamic Viscosity (%)</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b="1"/>
            </a:pPr>
            <a:endParaRPr lang="en-US"/>
          </a:p>
        </c:txPr>
        <c:crossAx val="1946657136"/>
        <c:crosses val="autoZero"/>
        <c:crossBetween val="midCat"/>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'TCE NF1'!$H$2</c:f>
              <c:strCache>
                <c:ptCount val="1"/>
                <c:pt idx="0">
                  <c:v>25</c:v>
                </c:pt>
              </c:strCache>
            </c:strRef>
          </c:tx>
          <c:spPr>
            <a:ln w="19050" cap="rnd">
              <a:solidFill>
                <a:srgbClr val="FF0000"/>
              </a:solidFill>
              <a:prstDash val="dash"/>
              <a:round/>
            </a:ln>
            <a:effectLst/>
          </c:spPr>
          <c:marker>
            <c:symbol val="circle"/>
            <c:size val="5"/>
            <c:spPr>
              <a:solidFill>
                <a:srgbClr val="FF0000"/>
              </a:solidFill>
              <a:ln w="9525">
                <a:solidFill>
                  <a:srgbClr val="FF0000"/>
                </a:solidFill>
              </a:ln>
              <a:effectLst/>
            </c:spPr>
          </c:marker>
          <c:xVal>
            <c:numRef>
              <c:f>'TCE NF1'!$I$1:$K$1</c:f>
              <c:numCache>
                <c:formatCode>General</c:formatCode>
                <c:ptCount val="3"/>
                <c:pt idx="0">
                  <c:v>0.01</c:v>
                </c:pt>
                <c:pt idx="1">
                  <c:v>0.05</c:v>
                </c:pt>
                <c:pt idx="2">
                  <c:v>0.1</c:v>
                </c:pt>
              </c:numCache>
            </c:numRef>
          </c:xVal>
          <c:yVal>
            <c:numRef>
              <c:f>'TCE NF1'!$I$2:$K$2</c:f>
              <c:numCache>
                <c:formatCode>0.00%</c:formatCode>
                <c:ptCount val="3"/>
                <c:pt idx="0">
                  <c:v>2.83018867924528E-2</c:v>
                </c:pt>
                <c:pt idx="1">
                  <c:v>3.77358490566038E-2</c:v>
                </c:pt>
                <c:pt idx="2">
                  <c:v>4.7169811320754797E-2</c:v>
                </c:pt>
              </c:numCache>
            </c:numRef>
          </c:yVal>
          <c:smooth val="1"/>
          <c:extLst>
            <c:ext xmlns:c16="http://schemas.microsoft.com/office/drawing/2014/chart" uri="{C3380CC4-5D6E-409C-BE32-E72D297353CC}">
              <c16:uniqueId val="{00000000-DA3D-49BF-BEB6-89CB6204E59A}"/>
            </c:ext>
          </c:extLst>
        </c:ser>
        <c:ser>
          <c:idx val="1"/>
          <c:order val="1"/>
          <c:tx>
            <c:strRef>
              <c:f>'TCE NF1'!$H$3</c:f>
              <c:strCache>
                <c:ptCount val="1"/>
                <c:pt idx="0">
                  <c:v>40</c:v>
                </c:pt>
              </c:strCache>
            </c:strRef>
          </c:tx>
          <c:spPr>
            <a:ln w="19050" cap="rnd">
              <a:solidFill>
                <a:srgbClr val="00B050"/>
              </a:solidFill>
              <a:prstDash val="dash"/>
              <a:round/>
            </a:ln>
            <a:effectLst/>
          </c:spPr>
          <c:marker>
            <c:symbol val="star"/>
            <c:size val="5"/>
            <c:spPr>
              <a:noFill/>
              <a:ln w="9525">
                <a:solidFill>
                  <a:srgbClr val="00B050"/>
                </a:solidFill>
              </a:ln>
              <a:effectLst/>
            </c:spPr>
          </c:marker>
          <c:xVal>
            <c:numRef>
              <c:f>'TCE NF1'!$I$1:$K$1</c:f>
              <c:numCache>
                <c:formatCode>General</c:formatCode>
                <c:ptCount val="3"/>
                <c:pt idx="0">
                  <c:v>0.01</c:v>
                </c:pt>
                <c:pt idx="1">
                  <c:v>0.05</c:v>
                </c:pt>
                <c:pt idx="2">
                  <c:v>0.1</c:v>
                </c:pt>
              </c:numCache>
            </c:numRef>
          </c:xVal>
          <c:yVal>
            <c:numRef>
              <c:f>'TCE NF1'!$I$3:$K$3</c:f>
              <c:numCache>
                <c:formatCode>0.00%</c:formatCode>
                <c:ptCount val="3"/>
                <c:pt idx="0">
                  <c:v>1.7431192660550401E-2</c:v>
                </c:pt>
                <c:pt idx="1">
                  <c:v>2.7522935779816501E-2</c:v>
                </c:pt>
                <c:pt idx="2">
                  <c:v>4.5871559633027602E-2</c:v>
                </c:pt>
              </c:numCache>
            </c:numRef>
          </c:yVal>
          <c:smooth val="1"/>
          <c:extLst>
            <c:ext xmlns:c16="http://schemas.microsoft.com/office/drawing/2014/chart" uri="{C3380CC4-5D6E-409C-BE32-E72D297353CC}">
              <c16:uniqueId val="{00000001-DA3D-49BF-BEB6-89CB6204E59A}"/>
            </c:ext>
          </c:extLst>
        </c:ser>
        <c:ser>
          <c:idx val="2"/>
          <c:order val="2"/>
          <c:tx>
            <c:strRef>
              <c:f>'TCE NF1'!$H$4</c:f>
              <c:strCache>
                <c:ptCount val="1"/>
                <c:pt idx="0">
                  <c:v>60</c:v>
                </c:pt>
              </c:strCache>
            </c:strRef>
          </c:tx>
          <c:spPr>
            <a:ln w="19050" cap="rnd">
              <a:solidFill>
                <a:srgbClr val="0070C0"/>
              </a:solidFill>
              <a:prstDash val="dash"/>
              <a:round/>
            </a:ln>
            <a:effectLst/>
          </c:spPr>
          <c:marker>
            <c:symbol val="triangle"/>
            <c:size val="5"/>
            <c:spPr>
              <a:solidFill>
                <a:srgbClr val="0070C0"/>
              </a:solidFill>
              <a:ln w="9525">
                <a:solidFill>
                  <a:srgbClr val="0070C0"/>
                </a:solidFill>
              </a:ln>
              <a:effectLst/>
            </c:spPr>
          </c:marker>
          <c:xVal>
            <c:numRef>
              <c:f>'TCE NF1'!$I$1:$K$1</c:f>
              <c:numCache>
                <c:formatCode>General</c:formatCode>
                <c:ptCount val="3"/>
                <c:pt idx="0">
                  <c:v>0.01</c:v>
                </c:pt>
                <c:pt idx="1">
                  <c:v>0.05</c:v>
                </c:pt>
                <c:pt idx="2">
                  <c:v>0.1</c:v>
                </c:pt>
              </c:numCache>
            </c:numRef>
          </c:xVal>
          <c:yVal>
            <c:numRef>
              <c:f>'TCE NF1'!$I$4:$K$4</c:f>
              <c:numCache>
                <c:formatCode>0.00%</c:formatCode>
                <c:ptCount val="3"/>
                <c:pt idx="0">
                  <c:v>9.0090090090090193E-3</c:v>
                </c:pt>
                <c:pt idx="1">
                  <c:v>2.2522522522522501E-2</c:v>
                </c:pt>
                <c:pt idx="2">
                  <c:v>4.0540540540540598E-2</c:v>
                </c:pt>
              </c:numCache>
            </c:numRef>
          </c:yVal>
          <c:smooth val="1"/>
          <c:extLst>
            <c:ext xmlns:c16="http://schemas.microsoft.com/office/drawing/2014/chart" uri="{C3380CC4-5D6E-409C-BE32-E72D297353CC}">
              <c16:uniqueId val="{00000002-DA3D-49BF-BEB6-89CB6204E59A}"/>
            </c:ext>
          </c:extLst>
        </c:ser>
        <c:dLbls>
          <c:showLegendKey val="0"/>
          <c:showVal val="0"/>
          <c:showCatName val="0"/>
          <c:showSerName val="0"/>
          <c:showPercent val="0"/>
          <c:showBubbleSize val="0"/>
        </c:dLbls>
        <c:axId val="1946653872"/>
        <c:axId val="1946661488"/>
      </c:scatterChart>
      <c:valAx>
        <c:axId val="1946653872"/>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61488"/>
        <c:crosses val="autoZero"/>
        <c:crossBetween val="midCat"/>
        <c:majorUnit val="0.02"/>
      </c:valAx>
      <c:valAx>
        <c:axId val="194666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Enhancement of Thermal Conductivity (%)</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53872"/>
        <c:crosses val="autoZero"/>
        <c:crossBetween val="midCat"/>
        <c:majorUnit val="0.01"/>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'TCE NF1'!$H$7</c:f>
              <c:strCache>
                <c:ptCount val="1"/>
                <c:pt idx="0">
                  <c:v>25</c:v>
                </c:pt>
              </c:strCache>
            </c:strRef>
          </c:tx>
          <c:spPr>
            <a:ln w="19050" cap="rnd">
              <a:solidFill>
                <a:srgbClr val="FF0000"/>
              </a:solidFill>
              <a:prstDash val="dash"/>
              <a:round/>
            </a:ln>
            <a:effectLst/>
          </c:spPr>
          <c:marker>
            <c:symbol val="circle"/>
            <c:size val="5"/>
            <c:spPr>
              <a:solidFill>
                <a:srgbClr val="FF0000">
                  <a:alpha val="99000"/>
                </a:srgbClr>
              </a:solidFill>
              <a:ln w="9525">
                <a:solidFill>
                  <a:srgbClr val="FF0000"/>
                </a:solidFill>
              </a:ln>
              <a:effectLst/>
            </c:spPr>
          </c:marker>
          <c:xVal>
            <c:numRef>
              <c:f>'TCE NF1'!$I$6:$K$6</c:f>
              <c:numCache>
                <c:formatCode>General</c:formatCode>
                <c:ptCount val="3"/>
                <c:pt idx="0">
                  <c:v>0.01</c:v>
                </c:pt>
                <c:pt idx="1">
                  <c:v>0.05</c:v>
                </c:pt>
                <c:pt idx="2">
                  <c:v>0.1</c:v>
                </c:pt>
              </c:numCache>
            </c:numRef>
          </c:xVal>
          <c:yVal>
            <c:numRef>
              <c:f>'TCE NF1'!$I$7:$K$7</c:f>
              <c:numCache>
                <c:formatCode>0.00%</c:formatCode>
                <c:ptCount val="3"/>
                <c:pt idx="0">
                  <c:v>4.0182648401826497E-2</c:v>
                </c:pt>
                <c:pt idx="1">
                  <c:v>5.0228310502283102E-2</c:v>
                </c:pt>
                <c:pt idx="2">
                  <c:v>5.6164383561643903E-2</c:v>
                </c:pt>
              </c:numCache>
            </c:numRef>
          </c:yVal>
          <c:smooth val="1"/>
          <c:extLst>
            <c:ext xmlns:c16="http://schemas.microsoft.com/office/drawing/2014/chart" uri="{C3380CC4-5D6E-409C-BE32-E72D297353CC}">
              <c16:uniqueId val="{00000000-C86B-44F5-91C3-30F992E04B10}"/>
            </c:ext>
          </c:extLst>
        </c:ser>
        <c:ser>
          <c:idx val="1"/>
          <c:order val="1"/>
          <c:tx>
            <c:strRef>
              <c:f>'TCE NF1'!$H$8</c:f>
              <c:strCache>
                <c:ptCount val="1"/>
                <c:pt idx="0">
                  <c:v>40</c:v>
                </c:pt>
              </c:strCache>
            </c:strRef>
          </c:tx>
          <c:spPr>
            <a:ln w="19050" cap="rnd">
              <a:solidFill>
                <a:srgbClr val="00B050"/>
              </a:solidFill>
              <a:prstDash val="dash"/>
              <a:round/>
            </a:ln>
            <a:effectLst/>
          </c:spPr>
          <c:marker>
            <c:symbol val="star"/>
            <c:size val="5"/>
            <c:spPr>
              <a:noFill/>
              <a:ln w="9525">
                <a:solidFill>
                  <a:srgbClr val="00B050"/>
                </a:solidFill>
              </a:ln>
              <a:effectLst/>
            </c:spPr>
          </c:marker>
          <c:xVal>
            <c:numRef>
              <c:f>'TCE NF1'!$I$6:$K$6</c:f>
              <c:numCache>
                <c:formatCode>General</c:formatCode>
                <c:ptCount val="3"/>
                <c:pt idx="0">
                  <c:v>0.01</c:v>
                </c:pt>
                <c:pt idx="1">
                  <c:v>0.05</c:v>
                </c:pt>
                <c:pt idx="2">
                  <c:v>0.1</c:v>
                </c:pt>
              </c:numCache>
            </c:numRef>
          </c:xVal>
          <c:yVal>
            <c:numRef>
              <c:f>'TCE NF1'!$I$8:$K$8</c:f>
              <c:numCache>
                <c:formatCode>0.00%</c:formatCode>
                <c:ptCount val="3"/>
                <c:pt idx="0">
                  <c:v>1.53508771929825E-2</c:v>
                </c:pt>
                <c:pt idx="1">
                  <c:v>2.6315789473684199E-2</c:v>
                </c:pt>
                <c:pt idx="2">
                  <c:v>3.07017543859648E-2</c:v>
                </c:pt>
              </c:numCache>
            </c:numRef>
          </c:yVal>
          <c:smooth val="1"/>
          <c:extLst>
            <c:ext xmlns:c16="http://schemas.microsoft.com/office/drawing/2014/chart" uri="{C3380CC4-5D6E-409C-BE32-E72D297353CC}">
              <c16:uniqueId val="{00000001-C86B-44F5-91C3-30F992E04B10}"/>
            </c:ext>
          </c:extLst>
        </c:ser>
        <c:ser>
          <c:idx val="2"/>
          <c:order val="2"/>
          <c:tx>
            <c:strRef>
              <c:f>'TCE NF1'!$H$9</c:f>
              <c:strCache>
                <c:ptCount val="1"/>
                <c:pt idx="0">
                  <c:v>60</c:v>
                </c:pt>
              </c:strCache>
            </c:strRef>
          </c:tx>
          <c:spPr>
            <a:ln w="19050" cap="rnd">
              <a:solidFill>
                <a:srgbClr val="0070C0"/>
              </a:solidFill>
              <a:prstDash val="dash"/>
              <a:round/>
            </a:ln>
            <a:effectLst/>
          </c:spPr>
          <c:marker>
            <c:symbol val="triangle"/>
            <c:size val="5"/>
            <c:spPr>
              <a:solidFill>
                <a:srgbClr val="0070C0"/>
              </a:solidFill>
              <a:ln w="9525">
                <a:solidFill>
                  <a:srgbClr val="0070C0"/>
                </a:solidFill>
              </a:ln>
              <a:effectLst/>
            </c:spPr>
          </c:marker>
          <c:xVal>
            <c:numRef>
              <c:f>'TCE NF1'!$I$6:$K$6</c:f>
              <c:numCache>
                <c:formatCode>General</c:formatCode>
                <c:ptCount val="3"/>
                <c:pt idx="0">
                  <c:v>0.01</c:v>
                </c:pt>
                <c:pt idx="1">
                  <c:v>0.05</c:v>
                </c:pt>
                <c:pt idx="2">
                  <c:v>0.1</c:v>
                </c:pt>
              </c:numCache>
            </c:numRef>
          </c:xVal>
          <c:yVal>
            <c:numRef>
              <c:f>'TCE NF1'!$I$9:$K$9</c:f>
              <c:numCache>
                <c:formatCode>0.00%</c:formatCode>
                <c:ptCount val="3"/>
                <c:pt idx="0">
                  <c:v>2.1551724137930901E-2</c:v>
                </c:pt>
                <c:pt idx="1">
                  <c:v>2.6724137931034401E-2</c:v>
                </c:pt>
                <c:pt idx="2">
                  <c:v>3.0172413793103401E-2</c:v>
                </c:pt>
              </c:numCache>
            </c:numRef>
          </c:yVal>
          <c:smooth val="1"/>
          <c:extLst>
            <c:ext xmlns:c16="http://schemas.microsoft.com/office/drawing/2014/chart" uri="{C3380CC4-5D6E-409C-BE32-E72D297353CC}">
              <c16:uniqueId val="{00000002-C86B-44F5-91C3-30F992E04B10}"/>
            </c:ext>
          </c:extLst>
        </c:ser>
        <c:dLbls>
          <c:showLegendKey val="0"/>
          <c:showVal val="0"/>
          <c:showCatName val="0"/>
          <c:showSerName val="0"/>
          <c:showPercent val="0"/>
          <c:showBubbleSize val="0"/>
        </c:dLbls>
        <c:axId val="1946650064"/>
        <c:axId val="1946679984"/>
      </c:scatterChart>
      <c:valAx>
        <c:axId val="1946650064"/>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sz="900"/>
                </a:pPr>
                <a:r>
                  <a:rPr lang="en-MY" sz="900"/>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79984"/>
        <c:crosses val="autoZero"/>
        <c:crossBetween val="midCat"/>
        <c:majorUnit val="0.02"/>
      </c:valAx>
      <c:valAx>
        <c:axId val="1946679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Enhancement of Thermal Conductivity (%)</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50064"/>
        <c:crosses val="autoZero"/>
        <c:crossBetween val="midCat"/>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'TCE NF1'!$H$12</c:f>
              <c:strCache>
                <c:ptCount val="1"/>
                <c:pt idx="0">
                  <c:v>25</c:v>
                </c:pt>
              </c:strCache>
            </c:strRef>
          </c:tx>
          <c:spPr>
            <a:ln w="19050" cap="rnd">
              <a:solidFill>
                <a:srgbClr val="FF0000"/>
              </a:solidFill>
              <a:prstDash val="dash"/>
              <a:round/>
            </a:ln>
            <a:effectLst/>
          </c:spPr>
          <c:marker>
            <c:symbol val="circle"/>
            <c:size val="5"/>
            <c:spPr>
              <a:solidFill>
                <a:srgbClr val="FF0000"/>
              </a:solidFill>
              <a:ln w="9525">
                <a:solidFill>
                  <a:srgbClr val="FF0000"/>
                </a:solidFill>
              </a:ln>
              <a:effectLst/>
            </c:spPr>
          </c:marker>
          <c:xVal>
            <c:numRef>
              <c:f>'TCE NF1'!$I$11:$K$11</c:f>
              <c:numCache>
                <c:formatCode>General</c:formatCode>
                <c:ptCount val="3"/>
                <c:pt idx="0">
                  <c:v>0.01</c:v>
                </c:pt>
                <c:pt idx="1">
                  <c:v>0.05</c:v>
                </c:pt>
                <c:pt idx="2">
                  <c:v>0.1</c:v>
                </c:pt>
              </c:numCache>
            </c:numRef>
          </c:xVal>
          <c:yVal>
            <c:numRef>
              <c:f>'TCE NF1'!$I$12:$K$12</c:f>
              <c:numCache>
                <c:formatCode>0.00%</c:formatCode>
                <c:ptCount val="3"/>
                <c:pt idx="0">
                  <c:v>1.6170212765957599E-2</c:v>
                </c:pt>
                <c:pt idx="1">
                  <c:v>2.2127659574468099E-2</c:v>
                </c:pt>
                <c:pt idx="2">
                  <c:v>2.5531914893616999E-2</c:v>
                </c:pt>
              </c:numCache>
            </c:numRef>
          </c:yVal>
          <c:smooth val="1"/>
          <c:extLst>
            <c:ext xmlns:c16="http://schemas.microsoft.com/office/drawing/2014/chart" uri="{C3380CC4-5D6E-409C-BE32-E72D297353CC}">
              <c16:uniqueId val="{00000000-8007-4850-ADFB-949E409C7E0F}"/>
            </c:ext>
          </c:extLst>
        </c:ser>
        <c:ser>
          <c:idx val="1"/>
          <c:order val="1"/>
          <c:tx>
            <c:strRef>
              <c:f>'TCE NF1'!$H$13</c:f>
              <c:strCache>
                <c:ptCount val="1"/>
                <c:pt idx="0">
                  <c:v>40</c:v>
                </c:pt>
              </c:strCache>
            </c:strRef>
          </c:tx>
          <c:spPr>
            <a:ln w="19050" cap="rnd">
              <a:solidFill>
                <a:srgbClr val="00B050"/>
              </a:solidFill>
              <a:prstDash val="dash"/>
              <a:round/>
            </a:ln>
            <a:effectLst/>
          </c:spPr>
          <c:marker>
            <c:symbol val="star"/>
            <c:size val="5"/>
            <c:spPr>
              <a:noFill/>
              <a:ln w="9525">
                <a:solidFill>
                  <a:srgbClr val="00B050"/>
                </a:solidFill>
              </a:ln>
              <a:effectLst/>
            </c:spPr>
          </c:marker>
          <c:xVal>
            <c:numRef>
              <c:f>'TCE NF1'!$I$11:$K$11</c:f>
              <c:numCache>
                <c:formatCode>General</c:formatCode>
                <c:ptCount val="3"/>
                <c:pt idx="0">
                  <c:v>0.01</c:v>
                </c:pt>
                <c:pt idx="1">
                  <c:v>0.05</c:v>
                </c:pt>
                <c:pt idx="2">
                  <c:v>0.1</c:v>
                </c:pt>
              </c:numCache>
            </c:numRef>
          </c:xVal>
          <c:yVal>
            <c:numRef>
              <c:f>'TCE NF1'!$I$13:$K$13</c:f>
              <c:numCache>
                <c:formatCode>0.00%</c:formatCode>
                <c:ptCount val="3"/>
                <c:pt idx="0">
                  <c:v>4.9792531120332198E-3</c:v>
                </c:pt>
                <c:pt idx="1">
                  <c:v>8.2987551867220004E-3</c:v>
                </c:pt>
                <c:pt idx="2">
                  <c:v>1.6597510373444001E-2</c:v>
                </c:pt>
              </c:numCache>
            </c:numRef>
          </c:yVal>
          <c:smooth val="1"/>
          <c:extLst>
            <c:ext xmlns:c16="http://schemas.microsoft.com/office/drawing/2014/chart" uri="{C3380CC4-5D6E-409C-BE32-E72D297353CC}">
              <c16:uniqueId val="{00000001-8007-4850-ADFB-949E409C7E0F}"/>
            </c:ext>
          </c:extLst>
        </c:ser>
        <c:ser>
          <c:idx val="2"/>
          <c:order val="2"/>
          <c:tx>
            <c:strRef>
              <c:f>'TCE NF1'!$H$14</c:f>
              <c:strCache>
                <c:ptCount val="1"/>
                <c:pt idx="0">
                  <c:v>60</c:v>
                </c:pt>
              </c:strCache>
            </c:strRef>
          </c:tx>
          <c:spPr>
            <a:ln w="19050" cap="rnd">
              <a:solidFill>
                <a:srgbClr val="0070C0"/>
              </a:solidFill>
              <a:prstDash val="dash"/>
              <a:round/>
            </a:ln>
            <a:effectLst/>
          </c:spPr>
          <c:marker>
            <c:symbol val="triangle"/>
            <c:size val="5"/>
            <c:spPr>
              <a:solidFill>
                <a:srgbClr val="0070C0"/>
              </a:solidFill>
              <a:ln w="9525">
                <a:solidFill>
                  <a:srgbClr val="0070C0"/>
                </a:solidFill>
              </a:ln>
              <a:effectLst/>
            </c:spPr>
          </c:marker>
          <c:xVal>
            <c:numRef>
              <c:f>'TCE NF1'!$I$11:$K$11</c:f>
              <c:numCache>
                <c:formatCode>General</c:formatCode>
                <c:ptCount val="3"/>
                <c:pt idx="0">
                  <c:v>0.01</c:v>
                </c:pt>
                <c:pt idx="1">
                  <c:v>0.05</c:v>
                </c:pt>
                <c:pt idx="2">
                  <c:v>0.1</c:v>
                </c:pt>
              </c:numCache>
            </c:numRef>
          </c:xVal>
          <c:yVal>
            <c:numRef>
              <c:f>'TCE NF1'!$I$14:$K$14</c:f>
              <c:numCache>
                <c:formatCode>0.00%</c:formatCode>
                <c:ptCount val="3"/>
                <c:pt idx="0">
                  <c:v>4.1322314049586804E-3</c:v>
                </c:pt>
                <c:pt idx="1">
                  <c:v>1.6528925619834701E-2</c:v>
                </c:pt>
                <c:pt idx="2">
                  <c:v>2.89256198347108E-2</c:v>
                </c:pt>
              </c:numCache>
            </c:numRef>
          </c:yVal>
          <c:smooth val="1"/>
          <c:extLst>
            <c:ext xmlns:c16="http://schemas.microsoft.com/office/drawing/2014/chart" uri="{C3380CC4-5D6E-409C-BE32-E72D297353CC}">
              <c16:uniqueId val="{00000002-8007-4850-ADFB-949E409C7E0F}"/>
            </c:ext>
          </c:extLst>
        </c:ser>
        <c:dLbls>
          <c:showLegendKey val="0"/>
          <c:showVal val="0"/>
          <c:showCatName val="0"/>
          <c:showSerName val="0"/>
          <c:showPercent val="0"/>
          <c:showBubbleSize val="0"/>
        </c:dLbls>
        <c:axId val="1946650608"/>
        <c:axId val="1946652784"/>
      </c:scatterChart>
      <c:valAx>
        <c:axId val="1946650608"/>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sz="900"/>
                </a:pPr>
                <a:r>
                  <a:rPr lang="en-MY" sz="900"/>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52784"/>
        <c:crosses val="autoZero"/>
        <c:crossBetween val="midCat"/>
        <c:majorUnit val="0.02"/>
      </c:valAx>
      <c:valAx>
        <c:axId val="1946652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Enhancement of Thermal Conductivity (%)</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50608"/>
        <c:crosses val="autoZero"/>
        <c:crossBetween val="midCat"/>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'TCE NF1'!$H$17</c:f>
              <c:strCache>
                <c:ptCount val="1"/>
                <c:pt idx="0">
                  <c:v>25</c:v>
                </c:pt>
              </c:strCache>
            </c:strRef>
          </c:tx>
          <c:spPr>
            <a:ln w="19050" cap="rnd">
              <a:solidFill>
                <a:srgbClr val="FF0000"/>
              </a:solidFill>
              <a:prstDash val="dash"/>
              <a:round/>
            </a:ln>
            <a:effectLst/>
          </c:spPr>
          <c:marker>
            <c:symbol val="circle"/>
            <c:size val="5"/>
            <c:spPr>
              <a:solidFill>
                <a:srgbClr val="FF0000"/>
              </a:solidFill>
              <a:ln w="9525">
                <a:solidFill>
                  <a:srgbClr val="FF0000"/>
                </a:solidFill>
              </a:ln>
              <a:effectLst/>
            </c:spPr>
          </c:marker>
          <c:xVal>
            <c:numRef>
              <c:f>'TCE NF1'!$I$16:$K$16</c:f>
              <c:numCache>
                <c:formatCode>General</c:formatCode>
                <c:ptCount val="3"/>
                <c:pt idx="0">
                  <c:v>0.01</c:v>
                </c:pt>
                <c:pt idx="1">
                  <c:v>0.05</c:v>
                </c:pt>
                <c:pt idx="2">
                  <c:v>0.1</c:v>
                </c:pt>
              </c:numCache>
            </c:numRef>
          </c:xVal>
          <c:yVal>
            <c:numRef>
              <c:f>'TCE NF1'!$I$17:$K$17</c:f>
              <c:numCache>
                <c:formatCode>0.00%</c:formatCode>
                <c:ptCount val="3"/>
                <c:pt idx="0">
                  <c:v>7.1942446043164604E-3</c:v>
                </c:pt>
                <c:pt idx="1">
                  <c:v>1.9889970376639799E-2</c:v>
                </c:pt>
                <c:pt idx="2">
                  <c:v>3.6817604739737601E-2</c:v>
                </c:pt>
              </c:numCache>
            </c:numRef>
          </c:yVal>
          <c:smooth val="1"/>
          <c:extLst>
            <c:ext xmlns:c16="http://schemas.microsoft.com/office/drawing/2014/chart" uri="{C3380CC4-5D6E-409C-BE32-E72D297353CC}">
              <c16:uniqueId val="{00000000-D3B4-4810-A56A-5CEB0212E4F3}"/>
            </c:ext>
          </c:extLst>
        </c:ser>
        <c:ser>
          <c:idx val="1"/>
          <c:order val="1"/>
          <c:tx>
            <c:strRef>
              <c:f>'TCE NF1'!$H$18</c:f>
              <c:strCache>
                <c:ptCount val="1"/>
                <c:pt idx="0">
                  <c:v>40</c:v>
                </c:pt>
              </c:strCache>
            </c:strRef>
          </c:tx>
          <c:spPr>
            <a:ln w="19050" cap="rnd">
              <a:solidFill>
                <a:srgbClr val="00B050"/>
              </a:solidFill>
              <a:prstDash val="dash"/>
              <a:round/>
            </a:ln>
            <a:effectLst/>
          </c:spPr>
          <c:marker>
            <c:symbol val="star"/>
            <c:size val="5"/>
            <c:spPr>
              <a:noFill/>
              <a:ln w="9525">
                <a:solidFill>
                  <a:srgbClr val="00B050"/>
                </a:solidFill>
              </a:ln>
              <a:effectLst/>
            </c:spPr>
          </c:marker>
          <c:xVal>
            <c:numRef>
              <c:f>'TCE NF1'!$I$16:$K$16</c:f>
              <c:numCache>
                <c:formatCode>General</c:formatCode>
                <c:ptCount val="3"/>
                <c:pt idx="0">
                  <c:v>0.01</c:v>
                </c:pt>
                <c:pt idx="1">
                  <c:v>0.05</c:v>
                </c:pt>
                <c:pt idx="2">
                  <c:v>0.1</c:v>
                </c:pt>
              </c:numCache>
            </c:numRef>
          </c:xVal>
          <c:yVal>
            <c:numRef>
              <c:f>'TCE NF1'!$I$18:$K$18</c:f>
              <c:numCache>
                <c:formatCode>0.00%</c:formatCode>
                <c:ptCount val="3"/>
                <c:pt idx="0">
                  <c:v>4.20168067226891E-3</c:v>
                </c:pt>
                <c:pt idx="1">
                  <c:v>2.1008403361344598E-2</c:v>
                </c:pt>
                <c:pt idx="2">
                  <c:v>4.6218487394957999E-2</c:v>
                </c:pt>
              </c:numCache>
            </c:numRef>
          </c:yVal>
          <c:smooth val="1"/>
          <c:extLst>
            <c:ext xmlns:c16="http://schemas.microsoft.com/office/drawing/2014/chart" uri="{C3380CC4-5D6E-409C-BE32-E72D297353CC}">
              <c16:uniqueId val="{00000001-D3B4-4810-A56A-5CEB0212E4F3}"/>
            </c:ext>
          </c:extLst>
        </c:ser>
        <c:ser>
          <c:idx val="2"/>
          <c:order val="2"/>
          <c:tx>
            <c:strRef>
              <c:f>'TCE NF1'!$H$19</c:f>
              <c:strCache>
                <c:ptCount val="1"/>
                <c:pt idx="0">
                  <c:v>60</c:v>
                </c:pt>
              </c:strCache>
            </c:strRef>
          </c:tx>
          <c:spPr>
            <a:ln w="19050" cap="rnd">
              <a:solidFill>
                <a:srgbClr val="0070C0"/>
              </a:solidFill>
              <a:prstDash val="dash"/>
              <a:round/>
            </a:ln>
            <a:effectLst/>
          </c:spPr>
          <c:marker>
            <c:symbol val="triangle"/>
            <c:size val="5"/>
            <c:spPr>
              <a:solidFill>
                <a:srgbClr val="0070C0"/>
              </a:solidFill>
              <a:ln w="9525">
                <a:solidFill>
                  <a:srgbClr val="0070C0"/>
                </a:solidFill>
              </a:ln>
              <a:effectLst/>
            </c:spPr>
          </c:marker>
          <c:xVal>
            <c:numRef>
              <c:f>'TCE NF1'!$I$16:$K$16</c:f>
              <c:numCache>
                <c:formatCode>General</c:formatCode>
                <c:ptCount val="3"/>
                <c:pt idx="0">
                  <c:v>0.01</c:v>
                </c:pt>
                <c:pt idx="1">
                  <c:v>0.05</c:v>
                </c:pt>
                <c:pt idx="2">
                  <c:v>0.1</c:v>
                </c:pt>
              </c:numCache>
            </c:numRef>
          </c:xVal>
          <c:yVal>
            <c:numRef>
              <c:f>'TCE NF1'!$I$19:$K$19</c:f>
              <c:numCache>
                <c:formatCode>0.00%</c:formatCode>
                <c:ptCount val="3"/>
                <c:pt idx="0">
                  <c:v>8.3682008368200899E-3</c:v>
                </c:pt>
                <c:pt idx="1">
                  <c:v>4.6025104602510497E-2</c:v>
                </c:pt>
                <c:pt idx="2">
                  <c:v>8.3682008368200902E-2</c:v>
                </c:pt>
              </c:numCache>
            </c:numRef>
          </c:yVal>
          <c:smooth val="1"/>
          <c:extLst>
            <c:ext xmlns:c16="http://schemas.microsoft.com/office/drawing/2014/chart" uri="{C3380CC4-5D6E-409C-BE32-E72D297353CC}">
              <c16:uniqueId val="{00000002-D3B4-4810-A56A-5CEB0212E4F3}"/>
            </c:ext>
          </c:extLst>
        </c:ser>
        <c:dLbls>
          <c:showLegendKey val="0"/>
          <c:showVal val="0"/>
          <c:showCatName val="0"/>
          <c:showSerName val="0"/>
          <c:showPercent val="0"/>
          <c:showBubbleSize val="0"/>
        </c:dLbls>
        <c:axId val="1946660400"/>
        <c:axId val="1946680528"/>
      </c:scatterChart>
      <c:valAx>
        <c:axId val="1946660400"/>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sz="900"/>
                </a:pPr>
                <a:r>
                  <a:rPr lang="en-MY" sz="900"/>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80528"/>
        <c:crosses val="autoZero"/>
        <c:crossBetween val="midCat"/>
        <c:majorUnit val="0.02"/>
      </c:valAx>
      <c:valAx>
        <c:axId val="1946680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Enhancement of THermal Conductivity (%)</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60400"/>
        <c:crosses val="autoZero"/>
        <c:crossBetween val="midCat"/>
        <c:majorUnit val="0.02"/>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Sheet3!$B$47</c:f>
              <c:strCache>
                <c:ptCount val="1"/>
                <c:pt idx="0">
                  <c:v>25</c:v>
                </c:pt>
              </c:strCache>
            </c:strRef>
          </c:tx>
          <c:spPr>
            <a:ln w="19050" cap="rnd">
              <a:solidFill>
                <a:srgbClr val="FF0000"/>
              </a:solidFill>
              <a:prstDash val="dash"/>
              <a:round/>
            </a:ln>
            <a:effectLst/>
          </c:spPr>
          <c:marker>
            <c:symbol val="circle"/>
            <c:size val="5"/>
            <c:spPr>
              <a:solidFill>
                <a:srgbClr val="FF0000"/>
              </a:solidFill>
              <a:ln w="9525">
                <a:solidFill>
                  <a:srgbClr val="FF0000"/>
                </a:solidFill>
              </a:ln>
              <a:effectLst/>
            </c:spPr>
          </c:marker>
          <c:xVal>
            <c:numRef>
              <c:f>Sheet3!$J$46:$L$46</c:f>
              <c:numCache>
                <c:formatCode>General</c:formatCode>
                <c:ptCount val="3"/>
                <c:pt idx="0">
                  <c:v>0.01</c:v>
                </c:pt>
                <c:pt idx="1">
                  <c:v>0.05</c:v>
                </c:pt>
                <c:pt idx="2">
                  <c:v>0.1</c:v>
                </c:pt>
              </c:numCache>
            </c:numRef>
          </c:xVal>
          <c:yVal>
            <c:numRef>
              <c:f>Sheet3!$J$47:$L$47</c:f>
              <c:numCache>
                <c:formatCode>0.0%</c:formatCode>
                <c:ptCount val="3"/>
                <c:pt idx="0">
                  <c:v>-1.59574468085108E-2</c:v>
                </c:pt>
                <c:pt idx="1">
                  <c:v>-3.5460992907800498E-3</c:v>
                </c:pt>
                <c:pt idx="2">
                  <c:v>1.7730496453900199E-3</c:v>
                </c:pt>
              </c:numCache>
            </c:numRef>
          </c:yVal>
          <c:smooth val="1"/>
          <c:extLst>
            <c:ext xmlns:c16="http://schemas.microsoft.com/office/drawing/2014/chart" uri="{C3380CC4-5D6E-409C-BE32-E72D297353CC}">
              <c16:uniqueId val="{00000000-CDC5-4C82-914C-D0AD2AB75322}"/>
            </c:ext>
          </c:extLst>
        </c:ser>
        <c:ser>
          <c:idx val="1"/>
          <c:order val="1"/>
          <c:tx>
            <c:strRef>
              <c:f>Sheet3!$B$48</c:f>
              <c:strCache>
                <c:ptCount val="1"/>
                <c:pt idx="0">
                  <c:v>40</c:v>
                </c:pt>
              </c:strCache>
            </c:strRef>
          </c:tx>
          <c:spPr>
            <a:ln w="19050" cap="rnd">
              <a:solidFill>
                <a:srgbClr val="00B050"/>
              </a:solidFill>
              <a:prstDash val="dash"/>
              <a:round/>
            </a:ln>
            <a:effectLst/>
          </c:spPr>
          <c:marker>
            <c:symbol val="star"/>
            <c:size val="5"/>
            <c:spPr>
              <a:noFill/>
              <a:ln w="9525">
                <a:solidFill>
                  <a:srgbClr val="00B050"/>
                </a:solidFill>
              </a:ln>
              <a:effectLst/>
            </c:spPr>
          </c:marker>
          <c:xVal>
            <c:numRef>
              <c:f>Sheet3!$J$46:$L$46</c:f>
              <c:numCache>
                <c:formatCode>General</c:formatCode>
                <c:ptCount val="3"/>
                <c:pt idx="0">
                  <c:v>0.01</c:v>
                </c:pt>
                <c:pt idx="1">
                  <c:v>0.05</c:v>
                </c:pt>
                <c:pt idx="2">
                  <c:v>0.1</c:v>
                </c:pt>
              </c:numCache>
            </c:numRef>
          </c:xVal>
          <c:yVal>
            <c:numRef>
              <c:f>Sheet3!$J$48:$L$48</c:f>
              <c:numCache>
                <c:formatCode>0.0%</c:formatCode>
                <c:ptCount val="3"/>
                <c:pt idx="0">
                  <c:v>-2.1052631578947201E-2</c:v>
                </c:pt>
                <c:pt idx="1">
                  <c:v>-2.1052631578947201E-2</c:v>
                </c:pt>
                <c:pt idx="2">
                  <c:v>-1.22807017543861E-2</c:v>
                </c:pt>
              </c:numCache>
            </c:numRef>
          </c:yVal>
          <c:smooth val="1"/>
          <c:extLst>
            <c:ext xmlns:c16="http://schemas.microsoft.com/office/drawing/2014/chart" uri="{C3380CC4-5D6E-409C-BE32-E72D297353CC}">
              <c16:uniqueId val="{00000001-CDC5-4C82-914C-D0AD2AB75322}"/>
            </c:ext>
          </c:extLst>
        </c:ser>
        <c:ser>
          <c:idx val="2"/>
          <c:order val="2"/>
          <c:tx>
            <c:strRef>
              <c:f>Sheet3!$B$49</c:f>
              <c:strCache>
                <c:ptCount val="1"/>
                <c:pt idx="0">
                  <c:v>60</c:v>
                </c:pt>
              </c:strCache>
            </c:strRef>
          </c:tx>
          <c:spPr>
            <a:ln w="19050" cap="rnd">
              <a:solidFill>
                <a:srgbClr val="0070C0"/>
              </a:solidFill>
              <a:prstDash val="dash"/>
              <a:round/>
            </a:ln>
            <a:effectLst/>
          </c:spPr>
          <c:marker>
            <c:symbol val="triangle"/>
            <c:size val="5"/>
            <c:spPr>
              <a:solidFill>
                <a:srgbClr val="0070C0"/>
              </a:solidFill>
              <a:ln w="9525">
                <a:solidFill>
                  <a:srgbClr val="0070C0"/>
                </a:solidFill>
              </a:ln>
              <a:effectLst/>
            </c:spPr>
          </c:marker>
          <c:xVal>
            <c:numRef>
              <c:f>Sheet3!$J$46:$L$46</c:f>
              <c:numCache>
                <c:formatCode>General</c:formatCode>
                <c:ptCount val="3"/>
                <c:pt idx="0">
                  <c:v>0.01</c:v>
                </c:pt>
                <c:pt idx="1">
                  <c:v>0.05</c:v>
                </c:pt>
                <c:pt idx="2">
                  <c:v>0.1</c:v>
                </c:pt>
              </c:numCache>
            </c:numRef>
          </c:xVal>
          <c:yVal>
            <c:numRef>
              <c:f>Sheet3!$J$49:$L$49</c:f>
              <c:numCache>
                <c:formatCode>0.0%</c:formatCode>
                <c:ptCount val="3"/>
                <c:pt idx="0">
                  <c:v>-1.7636684303351101E-2</c:v>
                </c:pt>
                <c:pt idx="1">
                  <c:v>-2.6455026455026301E-2</c:v>
                </c:pt>
                <c:pt idx="2">
                  <c:v>-1.3227513227513201E-2</c:v>
                </c:pt>
              </c:numCache>
            </c:numRef>
          </c:yVal>
          <c:smooth val="1"/>
          <c:extLst>
            <c:ext xmlns:c16="http://schemas.microsoft.com/office/drawing/2014/chart" uri="{C3380CC4-5D6E-409C-BE32-E72D297353CC}">
              <c16:uniqueId val="{00000002-CDC5-4C82-914C-D0AD2AB75322}"/>
            </c:ext>
          </c:extLst>
        </c:ser>
        <c:dLbls>
          <c:showLegendKey val="0"/>
          <c:showVal val="0"/>
          <c:showCatName val="0"/>
          <c:showSerName val="0"/>
          <c:showPercent val="0"/>
          <c:showBubbleSize val="0"/>
        </c:dLbls>
        <c:axId val="1946668560"/>
        <c:axId val="1946670192"/>
      </c:scatterChart>
      <c:valAx>
        <c:axId val="1946668560"/>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70192"/>
        <c:crosses val="autoZero"/>
        <c:crossBetween val="midCat"/>
      </c:valAx>
      <c:valAx>
        <c:axId val="194667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Enhancement of Thermal Conductivity (%)</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68560"/>
        <c:crosses val="autoZero"/>
        <c:crossBetween val="midCat"/>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1"/>
          <c:order val="0"/>
          <c:tx>
            <c:strRef>
              <c:f>Sheet1!$J$47</c:f>
              <c:strCache>
                <c:ptCount val="1"/>
                <c:pt idx="0">
                  <c:v>40</c:v>
                </c:pt>
              </c:strCache>
            </c:strRef>
          </c:tx>
          <c:spPr>
            <a:ln w="19050" cap="rnd">
              <a:solidFill>
                <a:srgbClr val="0070C0"/>
              </a:solidFill>
              <a:prstDash val="dash"/>
              <a:round/>
            </a:ln>
            <a:effectLst/>
          </c:spPr>
          <c:marker>
            <c:symbol val="diamond"/>
            <c:size val="5"/>
            <c:spPr>
              <a:solidFill>
                <a:srgbClr val="0070C0"/>
              </a:solidFill>
              <a:ln w="9525">
                <a:solidFill>
                  <a:srgbClr val="0070C0"/>
                </a:solidFill>
              </a:ln>
              <a:effectLst/>
            </c:spPr>
          </c:marker>
          <c:xVal>
            <c:numRef>
              <c:f>Sheet1!$K$42:$N$42</c:f>
              <c:numCache>
                <c:formatCode>General</c:formatCode>
                <c:ptCount val="4"/>
                <c:pt idx="0">
                  <c:v>0</c:v>
                </c:pt>
                <c:pt idx="1">
                  <c:v>0.01</c:v>
                </c:pt>
                <c:pt idx="2">
                  <c:v>0.05</c:v>
                </c:pt>
                <c:pt idx="3">
                  <c:v>0.1</c:v>
                </c:pt>
              </c:numCache>
            </c:numRef>
          </c:xVal>
          <c:yVal>
            <c:numRef>
              <c:f>Sheet1!$K$47:$N$47</c:f>
              <c:numCache>
                <c:formatCode>0.000000</c:formatCode>
                <c:ptCount val="4"/>
                <c:pt idx="0">
                  <c:v>1.1950099999999999</c:v>
                </c:pt>
                <c:pt idx="1">
                  <c:v>1.1945399999999999</c:v>
                </c:pt>
                <c:pt idx="2">
                  <c:v>1.1940900000000001</c:v>
                </c:pt>
                <c:pt idx="3">
                  <c:v>1.194966666666667</c:v>
                </c:pt>
              </c:numCache>
            </c:numRef>
          </c:yVal>
          <c:smooth val="1"/>
          <c:extLst>
            <c:ext xmlns:c16="http://schemas.microsoft.com/office/drawing/2014/chart" uri="{C3380CC4-5D6E-409C-BE32-E72D297353CC}">
              <c16:uniqueId val="{00000001-D3DF-4667-A2AF-CC4B81E791E5}"/>
            </c:ext>
          </c:extLst>
        </c:ser>
        <c:ser>
          <c:idx val="2"/>
          <c:order val="1"/>
          <c:tx>
            <c:strRef>
              <c:f>Sheet1!$J$48</c:f>
              <c:strCache>
                <c:ptCount val="1"/>
                <c:pt idx="0">
                  <c:v>90</c:v>
                </c:pt>
              </c:strCache>
            </c:strRef>
          </c:tx>
          <c:spPr>
            <a:ln w="19050" cap="rnd">
              <a:solidFill>
                <a:srgbClr val="C00000"/>
              </a:solidFill>
              <a:prstDash val="dash"/>
              <a:round/>
            </a:ln>
            <a:effectLst/>
          </c:spPr>
          <c:marker>
            <c:symbol val="x"/>
            <c:size val="5"/>
            <c:spPr>
              <a:noFill/>
              <a:ln w="9525">
                <a:solidFill>
                  <a:srgbClr val="C00000"/>
                </a:solidFill>
              </a:ln>
              <a:effectLst/>
            </c:spPr>
          </c:marker>
          <c:xVal>
            <c:numRef>
              <c:f>Sheet1!$K$42:$N$42</c:f>
              <c:numCache>
                <c:formatCode>General</c:formatCode>
                <c:ptCount val="4"/>
                <c:pt idx="0">
                  <c:v>0</c:v>
                </c:pt>
                <c:pt idx="1">
                  <c:v>0.01</c:v>
                </c:pt>
                <c:pt idx="2">
                  <c:v>0.05</c:v>
                </c:pt>
                <c:pt idx="3">
                  <c:v>0.1</c:v>
                </c:pt>
              </c:numCache>
            </c:numRef>
          </c:xVal>
          <c:yVal>
            <c:numRef>
              <c:f>Sheet1!$K$48:$N$48</c:f>
              <c:numCache>
                <c:formatCode>0.000000</c:formatCode>
                <c:ptCount val="4"/>
                <c:pt idx="0">
                  <c:v>1.1662633333333341</c:v>
                </c:pt>
                <c:pt idx="1">
                  <c:v>1.1658533333333341</c:v>
                </c:pt>
                <c:pt idx="2">
                  <c:v>1.1654199999999999</c:v>
                </c:pt>
                <c:pt idx="3">
                  <c:v>1.16621</c:v>
                </c:pt>
              </c:numCache>
            </c:numRef>
          </c:yVal>
          <c:smooth val="1"/>
          <c:extLst>
            <c:ext xmlns:c16="http://schemas.microsoft.com/office/drawing/2014/chart" uri="{C3380CC4-5D6E-409C-BE32-E72D297353CC}">
              <c16:uniqueId val="{00000002-D3DF-4667-A2AF-CC4B81E791E5}"/>
            </c:ext>
          </c:extLst>
        </c:ser>
        <c:dLbls>
          <c:showLegendKey val="0"/>
          <c:showVal val="0"/>
          <c:showCatName val="0"/>
          <c:showSerName val="0"/>
          <c:showPercent val="0"/>
          <c:showBubbleSize val="0"/>
        </c:dLbls>
        <c:axId val="1793590016"/>
        <c:axId val="1793576960"/>
      </c:scatterChart>
      <c:valAx>
        <c:axId val="1793590016"/>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3576960"/>
        <c:crosses val="autoZero"/>
        <c:crossBetween val="midCat"/>
      </c:valAx>
      <c:valAx>
        <c:axId val="1793576960"/>
        <c:scaling>
          <c:orientation val="minMax"/>
          <c:max val="1.205000000000000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Density (g/cm</a:t>
                </a:r>
                <a:r>
                  <a:rPr lang="en-MY" baseline="30000"/>
                  <a:t>3</a:t>
                </a:r>
                <a:r>
                  <a:rPr lang="en-MY"/>
                  <a:t>)</a:t>
                </a:r>
              </a:p>
            </c:rich>
          </c:tx>
          <c:overlay val="0"/>
          <c:spPr>
            <a:noFill/>
            <a:ln>
              <a:noFill/>
            </a:ln>
            <a:effectLst/>
          </c:sp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3590016"/>
        <c:crosses val="autoZero"/>
        <c:crossBetween val="midCat"/>
        <c:majorUnit val="0.01"/>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Sheet3!$B$52</c:f>
              <c:strCache>
                <c:ptCount val="1"/>
                <c:pt idx="0">
                  <c:v>25</c:v>
                </c:pt>
              </c:strCache>
            </c:strRef>
          </c:tx>
          <c:spPr>
            <a:ln w="19050" cap="rnd">
              <a:solidFill>
                <a:srgbClr val="FF0000"/>
              </a:solidFill>
              <a:prstDash val="dash"/>
              <a:round/>
            </a:ln>
            <a:effectLst/>
          </c:spPr>
          <c:marker>
            <c:symbol val="circle"/>
            <c:size val="5"/>
            <c:spPr>
              <a:solidFill>
                <a:srgbClr val="FF0000"/>
              </a:solidFill>
              <a:ln w="9525">
                <a:solidFill>
                  <a:srgbClr val="FF0000"/>
                </a:solidFill>
              </a:ln>
              <a:effectLst/>
            </c:spPr>
          </c:marker>
          <c:xVal>
            <c:numRef>
              <c:f>Sheet3!$J$46:$L$46</c:f>
              <c:numCache>
                <c:formatCode>General</c:formatCode>
                <c:ptCount val="3"/>
                <c:pt idx="0">
                  <c:v>0.01</c:v>
                </c:pt>
                <c:pt idx="1">
                  <c:v>0.05</c:v>
                </c:pt>
                <c:pt idx="2">
                  <c:v>0.1</c:v>
                </c:pt>
              </c:numCache>
            </c:numRef>
          </c:xVal>
          <c:yVal>
            <c:numRef>
              <c:f>Sheet3!$J$52:$L$52</c:f>
              <c:numCache>
                <c:formatCode>0.0%</c:formatCode>
                <c:ptCount val="3"/>
                <c:pt idx="0">
                  <c:v>-5.3475935828875597E-3</c:v>
                </c:pt>
                <c:pt idx="1">
                  <c:v>-1.78253119429585E-3</c:v>
                </c:pt>
                <c:pt idx="2">
                  <c:v>5.3475935828878503E-3</c:v>
                </c:pt>
              </c:numCache>
            </c:numRef>
          </c:yVal>
          <c:smooth val="1"/>
          <c:extLst>
            <c:ext xmlns:c16="http://schemas.microsoft.com/office/drawing/2014/chart" uri="{C3380CC4-5D6E-409C-BE32-E72D297353CC}">
              <c16:uniqueId val="{00000000-993F-44E2-A987-D33D68B44AFA}"/>
            </c:ext>
          </c:extLst>
        </c:ser>
        <c:ser>
          <c:idx val="1"/>
          <c:order val="1"/>
          <c:tx>
            <c:strRef>
              <c:f>Sheet3!$B$53</c:f>
              <c:strCache>
                <c:ptCount val="1"/>
                <c:pt idx="0">
                  <c:v>40</c:v>
                </c:pt>
              </c:strCache>
            </c:strRef>
          </c:tx>
          <c:spPr>
            <a:ln w="19050" cap="rnd">
              <a:solidFill>
                <a:srgbClr val="00B050"/>
              </a:solidFill>
              <a:prstDash val="dash"/>
              <a:round/>
            </a:ln>
            <a:effectLst/>
          </c:spPr>
          <c:marker>
            <c:symbol val="star"/>
            <c:size val="5"/>
            <c:spPr>
              <a:noFill/>
              <a:ln w="9525">
                <a:solidFill>
                  <a:srgbClr val="00B050"/>
                </a:solidFill>
              </a:ln>
              <a:effectLst/>
            </c:spPr>
          </c:marker>
          <c:xVal>
            <c:numRef>
              <c:f>Sheet3!$J$46:$L$46</c:f>
              <c:numCache>
                <c:formatCode>General</c:formatCode>
                <c:ptCount val="3"/>
                <c:pt idx="0">
                  <c:v>0.01</c:v>
                </c:pt>
                <c:pt idx="1">
                  <c:v>0.05</c:v>
                </c:pt>
                <c:pt idx="2">
                  <c:v>0.1</c:v>
                </c:pt>
              </c:numCache>
            </c:numRef>
          </c:xVal>
          <c:yVal>
            <c:numRef>
              <c:f>Sheet3!$J$53:$L$53</c:f>
              <c:numCache>
                <c:formatCode>0.0%</c:formatCode>
                <c:ptCount val="3"/>
                <c:pt idx="0">
                  <c:v>-8.9126559714795602E-3</c:v>
                </c:pt>
                <c:pt idx="1">
                  <c:v>-1.33689839572191E-2</c:v>
                </c:pt>
                <c:pt idx="2">
                  <c:v>-1.33689839572178E-3</c:v>
                </c:pt>
              </c:numCache>
            </c:numRef>
          </c:yVal>
          <c:smooth val="1"/>
          <c:extLst>
            <c:ext xmlns:c16="http://schemas.microsoft.com/office/drawing/2014/chart" uri="{C3380CC4-5D6E-409C-BE32-E72D297353CC}">
              <c16:uniqueId val="{00000001-993F-44E2-A987-D33D68B44AFA}"/>
            </c:ext>
          </c:extLst>
        </c:ser>
        <c:ser>
          <c:idx val="2"/>
          <c:order val="2"/>
          <c:tx>
            <c:strRef>
              <c:f>Sheet3!$B$54</c:f>
              <c:strCache>
                <c:ptCount val="1"/>
                <c:pt idx="0">
                  <c:v>60</c:v>
                </c:pt>
              </c:strCache>
            </c:strRef>
          </c:tx>
          <c:spPr>
            <a:ln w="19050" cap="rnd">
              <a:solidFill>
                <a:srgbClr val="0070C0"/>
              </a:solidFill>
              <a:prstDash val="dash"/>
              <a:round/>
            </a:ln>
            <a:effectLst/>
          </c:spPr>
          <c:marker>
            <c:symbol val="triangle"/>
            <c:size val="5"/>
            <c:spPr>
              <a:solidFill>
                <a:srgbClr val="0070C0"/>
              </a:solidFill>
              <a:ln w="9525">
                <a:solidFill>
                  <a:srgbClr val="0070C0"/>
                </a:solidFill>
              </a:ln>
              <a:effectLst/>
            </c:spPr>
          </c:marker>
          <c:xVal>
            <c:numRef>
              <c:f>Sheet3!$J$46:$L$46</c:f>
              <c:numCache>
                <c:formatCode>General</c:formatCode>
                <c:ptCount val="3"/>
                <c:pt idx="0">
                  <c:v>0.01</c:v>
                </c:pt>
                <c:pt idx="1">
                  <c:v>0.05</c:v>
                </c:pt>
                <c:pt idx="2">
                  <c:v>0.1</c:v>
                </c:pt>
              </c:numCache>
            </c:numRef>
          </c:xVal>
          <c:yVal>
            <c:numRef>
              <c:f>Sheet3!$J$54:$L$54</c:f>
              <c:numCache>
                <c:formatCode>0.0%</c:formatCode>
                <c:ptCount val="3"/>
                <c:pt idx="0">
                  <c:v>-5.3475935828877098E-3</c:v>
                </c:pt>
                <c:pt idx="1">
                  <c:v>-1.4705882352941299E-2</c:v>
                </c:pt>
                <c:pt idx="2">
                  <c:v>-5.3475935828875597E-3</c:v>
                </c:pt>
              </c:numCache>
            </c:numRef>
          </c:yVal>
          <c:smooth val="1"/>
          <c:extLst>
            <c:ext xmlns:c16="http://schemas.microsoft.com/office/drawing/2014/chart" uri="{C3380CC4-5D6E-409C-BE32-E72D297353CC}">
              <c16:uniqueId val="{00000002-993F-44E2-A987-D33D68B44AFA}"/>
            </c:ext>
          </c:extLst>
        </c:ser>
        <c:dLbls>
          <c:showLegendKey val="0"/>
          <c:showVal val="0"/>
          <c:showCatName val="0"/>
          <c:showSerName val="0"/>
          <c:showPercent val="0"/>
          <c:showBubbleSize val="0"/>
        </c:dLbls>
        <c:axId val="1946671280"/>
        <c:axId val="1946651696"/>
      </c:scatterChart>
      <c:valAx>
        <c:axId val="1946671280"/>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51696"/>
        <c:crosses val="autoZero"/>
        <c:crossBetween val="midCat"/>
      </c:valAx>
      <c:valAx>
        <c:axId val="1946651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Enhancement of Thermal Conductivity (%)</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71280"/>
        <c:crosses val="autoZero"/>
        <c:crossBetween val="midCat"/>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Sheet3!$B$57</c:f>
              <c:strCache>
                <c:ptCount val="1"/>
                <c:pt idx="0">
                  <c:v>25</c:v>
                </c:pt>
              </c:strCache>
            </c:strRef>
          </c:tx>
          <c:spPr>
            <a:ln w="19050" cap="rnd">
              <a:solidFill>
                <a:srgbClr val="FF0000"/>
              </a:solidFill>
              <a:prstDash val="dash"/>
              <a:round/>
            </a:ln>
            <a:effectLst/>
          </c:spPr>
          <c:marker>
            <c:symbol val="circle"/>
            <c:size val="5"/>
            <c:spPr>
              <a:solidFill>
                <a:srgbClr val="FF0000"/>
              </a:solidFill>
              <a:ln w="9525">
                <a:solidFill>
                  <a:srgbClr val="FF0000"/>
                </a:solidFill>
              </a:ln>
              <a:effectLst/>
            </c:spPr>
          </c:marker>
          <c:xVal>
            <c:numRef>
              <c:f>Sheet3!$J$46:$L$46</c:f>
              <c:numCache>
                <c:formatCode>General</c:formatCode>
                <c:ptCount val="3"/>
                <c:pt idx="0">
                  <c:v>0.01</c:v>
                </c:pt>
                <c:pt idx="1">
                  <c:v>0.05</c:v>
                </c:pt>
                <c:pt idx="2">
                  <c:v>0.1</c:v>
                </c:pt>
              </c:numCache>
            </c:numRef>
          </c:xVal>
          <c:yVal>
            <c:numRef>
              <c:f>Sheet3!$J$57:$L$57</c:f>
              <c:numCache>
                <c:formatCode>0.0%</c:formatCode>
                <c:ptCount val="3"/>
                <c:pt idx="0">
                  <c:v>-1.59574468085108E-2</c:v>
                </c:pt>
                <c:pt idx="1">
                  <c:v>-1.0638297872340399E-2</c:v>
                </c:pt>
                <c:pt idx="2">
                  <c:v>-1.77304964539017E-3</c:v>
                </c:pt>
              </c:numCache>
            </c:numRef>
          </c:yVal>
          <c:smooth val="1"/>
          <c:extLst>
            <c:ext xmlns:c16="http://schemas.microsoft.com/office/drawing/2014/chart" uri="{C3380CC4-5D6E-409C-BE32-E72D297353CC}">
              <c16:uniqueId val="{00000000-09AE-4078-9BB0-E2CAEBF5F613}"/>
            </c:ext>
          </c:extLst>
        </c:ser>
        <c:ser>
          <c:idx val="1"/>
          <c:order val="1"/>
          <c:tx>
            <c:strRef>
              <c:f>Sheet3!$B$58</c:f>
              <c:strCache>
                <c:ptCount val="1"/>
                <c:pt idx="0">
                  <c:v>40</c:v>
                </c:pt>
              </c:strCache>
            </c:strRef>
          </c:tx>
          <c:spPr>
            <a:ln w="19050" cap="rnd">
              <a:solidFill>
                <a:srgbClr val="00B050"/>
              </a:solidFill>
              <a:prstDash val="dash"/>
              <a:round/>
            </a:ln>
            <a:effectLst/>
          </c:spPr>
          <c:marker>
            <c:symbol val="star"/>
            <c:size val="5"/>
            <c:spPr>
              <a:noFill/>
              <a:ln w="9525">
                <a:solidFill>
                  <a:srgbClr val="00B050"/>
                </a:solidFill>
              </a:ln>
              <a:effectLst/>
            </c:spPr>
          </c:marker>
          <c:xVal>
            <c:numRef>
              <c:f>Sheet3!$J$46:$L$46</c:f>
              <c:numCache>
                <c:formatCode>General</c:formatCode>
                <c:ptCount val="3"/>
                <c:pt idx="0">
                  <c:v>0.01</c:v>
                </c:pt>
                <c:pt idx="1">
                  <c:v>0.05</c:v>
                </c:pt>
                <c:pt idx="2">
                  <c:v>0.1</c:v>
                </c:pt>
              </c:numCache>
            </c:numRef>
          </c:xVal>
          <c:yVal>
            <c:numRef>
              <c:f>Sheet3!$J$58:$L$58</c:f>
              <c:numCache>
                <c:formatCode>0.0%</c:formatCode>
                <c:ptCount val="3"/>
                <c:pt idx="0">
                  <c:v>-2.6455026455026301E-2</c:v>
                </c:pt>
                <c:pt idx="1">
                  <c:v>-2.6455026455026301E-2</c:v>
                </c:pt>
                <c:pt idx="2">
                  <c:v>-1.45502645502647E-2</c:v>
                </c:pt>
              </c:numCache>
            </c:numRef>
          </c:yVal>
          <c:smooth val="1"/>
          <c:extLst>
            <c:ext xmlns:c16="http://schemas.microsoft.com/office/drawing/2014/chart" uri="{C3380CC4-5D6E-409C-BE32-E72D297353CC}">
              <c16:uniqueId val="{00000001-09AE-4078-9BB0-E2CAEBF5F613}"/>
            </c:ext>
          </c:extLst>
        </c:ser>
        <c:ser>
          <c:idx val="2"/>
          <c:order val="2"/>
          <c:tx>
            <c:strRef>
              <c:f>Sheet3!$B$59</c:f>
              <c:strCache>
                <c:ptCount val="1"/>
                <c:pt idx="0">
                  <c:v>60</c:v>
                </c:pt>
              </c:strCache>
            </c:strRef>
          </c:tx>
          <c:spPr>
            <a:ln w="19050" cap="rnd">
              <a:solidFill>
                <a:srgbClr val="0070C0"/>
              </a:solidFill>
              <a:prstDash val="dash"/>
              <a:round/>
            </a:ln>
            <a:effectLst/>
          </c:spPr>
          <c:marker>
            <c:symbol val="triangle"/>
            <c:size val="5"/>
            <c:spPr>
              <a:solidFill>
                <a:srgbClr val="0070C0"/>
              </a:solidFill>
              <a:ln w="9525">
                <a:solidFill>
                  <a:srgbClr val="0070C0"/>
                </a:solidFill>
              </a:ln>
              <a:effectLst/>
            </c:spPr>
          </c:marker>
          <c:xVal>
            <c:numRef>
              <c:f>Sheet3!$J$46:$L$46</c:f>
              <c:numCache>
                <c:formatCode>General</c:formatCode>
                <c:ptCount val="3"/>
                <c:pt idx="0">
                  <c:v>0.01</c:v>
                </c:pt>
                <c:pt idx="1">
                  <c:v>0.05</c:v>
                </c:pt>
                <c:pt idx="2">
                  <c:v>0.1</c:v>
                </c:pt>
              </c:numCache>
            </c:numRef>
          </c:xVal>
          <c:yVal>
            <c:numRef>
              <c:f>Sheet3!$J$59:$L$59</c:f>
              <c:numCache>
                <c:formatCode>0.0%</c:formatCode>
                <c:ptCount val="3"/>
                <c:pt idx="0">
                  <c:v>-3.7696335078534003E-2</c:v>
                </c:pt>
                <c:pt idx="1">
                  <c:v>-4.5375218150087403E-2</c:v>
                </c:pt>
                <c:pt idx="2">
                  <c:v>-2.6178010471204102E-2</c:v>
                </c:pt>
              </c:numCache>
            </c:numRef>
          </c:yVal>
          <c:smooth val="1"/>
          <c:extLst>
            <c:ext xmlns:c16="http://schemas.microsoft.com/office/drawing/2014/chart" uri="{C3380CC4-5D6E-409C-BE32-E72D297353CC}">
              <c16:uniqueId val="{00000002-09AE-4078-9BB0-E2CAEBF5F613}"/>
            </c:ext>
          </c:extLst>
        </c:ser>
        <c:dLbls>
          <c:showLegendKey val="0"/>
          <c:showVal val="0"/>
          <c:showCatName val="0"/>
          <c:showSerName val="0"/>
          <c:showPercent val="0"/>
          <c:showBubbleSize val="0"/>
        </c:dLbls>
        <c:axId val="1946653328"/>
        <c:axId val="1946658224"/>
      </c:scatterChart>
      <c:valAx>
        <c:axId val="1946653328"/>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58224"/>
        <c:crosses val="autoZero"/>
        <c:crossBetween val="midCat"/>
      </c:valAx>
      <c:valAx>
        <c:axId val="1946658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Enhanceent of Thermal Conductivity (%)</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53328"/>
        <c:crosses val="autoZero"/>
        <c:crossBetween val="midCat"/>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Sheet1!$J$49</c:f>
              <c:strCache>
                <c:ptCount val="1"/>
                <c:pt idx="0">
                  <c:v>25</c:v>
                </c:pt>
              </c:strCache>
            </c:strRef>
          </c:tx>
          <c:spPr>
            <a:ln w="19050" cap="rnd">
              <a:solidFill>
                <a:srgbClr val="FFC000"/>
              </a:solidFill>
              <a:prstDash val="dash"/>
              <a:round/>
            </a:ln>
            <a:effectLst/>
          </c:spPr>
          <c:marker>
            <c:symbol val="circle"/>
            <c:size val="5"/>
            <c:spPr>
              <a:solidFill>
                <a:srgbClr val="FFC000"/>
              </a:solidFill>
              <a:ln w="9525">
                <a:solidFill>
                  <a:srgbClr val="FFC000"/>
                </a:solidFill>
              </a:ln>
              <a:effectLst/>
            </c:spPr>
          </c:marker>
          <c:xVal>
            <c:numRef>
              <c:f>Sheet1!$K$42:$N$42</c:f>
              <c:numCache>
                <c:formatCode>General</c:formatCode>
                <c:ptCount val="4"/>
                <c:pt idx="0">
                  <c:v>0</c:v>
                </c:pt>
                <c:pt idx="1">
                  <c:v>0.01</c:v>
                </c:pt>
                <c:pt idx="2">
                  <c:v>0.05</c:v>
                </c:pt>
                <c:pt idx="3">
                  <c:v>0.1</c:v>
                </c:pt>
              </c:numCache>
            </c:numRef>
          </c:xVal>
          <c:yVal>
            <c:numRef>
              <c:f>Sheet1!$K$49:$N$49</c:f>
              <c:numCache>
                <c:formatCode>0.000000</c:formatCode>
                <c:ptCount val="4"/>
                <c:pt idx="0">
                  <c:v>1.209643333333333</c:v>
                </c:pt>
                <c:pt idx="1">
                  <c:v>1.210706666666667</c:v>
                </c:pt>
                <c:pt idx="2">
                  <c:v>1.209296666666666</c:v>
                </c:pt>
                <c:pt idx="3">
                  <c:v>1.2102733333333331</c:v>
                </c:pt>
              </c:numCache>
            </c:numRef>
          </c:yVal>
          <c:smooth val="1"/>
          <c:extLst>
            <c:ext xmlns:c16="http://schemas.microsoft.com/office/drawing/2014/chart" uri="{C3380CC4-5D6E-409C-BE32-E72D297353CC}">
              <c16:uniqueId val="{00000000-3D66-4256-82DA-0F550795209B}"/>
            </c:ext>
          </c:extLst>
        </c:ser>
        <c:ser>
          <c:idx val="1"/>
          <c:order val="1"/>
          <c:tx>
            <c:strRef>
              <c:f>Sheet1!$J$50</c:f>
              <c:strCache>
                <c:ptCount val="1"/>
                <c:pt idx="0">
                  <c:v>40</c:v>
                </c:pt>
              </c:strCache>
            </c:strRef>
          </c:tx>
          <c:spPr>
            <a:ln w="19050" cap="rnd">
              <a:solidFill>
                <a:srgbClr val="0070C0"/>
              </a:solidFill>
              <a:prstDash val="dash"/>
              <a:round/>
            </a:ln>
            <a:effectLst/>
          </c:spPr>
          <c:marker>
            <c:symbol val="diamond"/>
            <c:size val="5"/>
            <c:spPr>
              <a:solidFill>
                <a:srgbClr val="0070C0"/>
              </a:solidFill>
              <a:ln w="9525">
                <a:solidFill>
                  <a:srgbClr val="0070C0"/>
                </a:solidFill>
              </a:ln>
              <a:effectLst/>
            </c:spPr>
          </c:marker>
          <c:xVal>
            <c:numRef>
              <c:f>Sheet1!$K$42:$N$42</c:f>
              <c:numCache>
                <c:formatCode>General</c:formatCode>
                <c:ptCount val="4"/>
                <c:pt idx="0">
                  <c:v>0</c:v>
                </c:pt>
                <c:pt idx="1">
                  <c:v>0.01</c:v>
                </c:pt>
                <c:pt idx="2">
                  <c:v>0.05</c:v>
                </c:pt>
                <c:pt idx="3">
                  <c:v>0.1</c:v>
                </c:pt>
              </c:numCache>
            </c:numRef>
          </c:xVal>
          <c:yVal>
            <c:numRef>
              <c:f>Sheet1!$K$50:$N$50</c:f>
              <c:numCache>
                <c:formatCode>0.000000</c:formatCode>
                <c:ptCount val="4"/>
                <c:pt idx="0">
                  <c:v>1.2010000000000001</c:v>
                </c:pt>
                <c:pt idx="1">
                  <c:v>1.2020733333333331</c:v>
                </c:pt>
                <c:pt idx="2">
                  <c:v>1.200653333333334</c:v>
                </c:pt>
                <c:pt idx="3">
                  <c:v>1.20166</c:v>
                </c:pt>
              </c:numCache>
            </c:numRef>
          </c:yVal>
          <c:smooth val="1"/>
          <c:extLst>
            <c:ext xmlns:c16="http://schemas.microsoft.com/office/drawing/2014/chart" uri="{C3380CC4-5D6E-409C-BE32-E72D297353CC}">
              <c16:uniqueId val="{00000001-3D66-4256-82DA-0F550795209B}"/>
            </c:ext>
          </c:extLst>
        </c:ser>
        <c:ser>
          <c:idx val="2"/>
          <c:order val="2"/>
          <c:tx>
            <c:strRef>
              <c:f>Sheet1!$J$51</c:f>
              <c:strCache>
                <c:ptCount val="1"/>
                <c:pt idx="0">
                  <c:v>90</c:v>
                </c:pt>
              </c:strCache>
            </c:strRef>
          </c:tx>
          <c:spPr>
            <a:ln w="19050" cap="rnd">
              <a:solidFill>
                <a:srgbClr val="C00000"/>
              </a:solidFill>
              <a:prstDash val="dash"/>
              <a:round/>
            </a:ln>
            <a:effectLst/>
          </c:spPr>
          <c:marker>
            <c:symbol val="x"/>
            <c:size val="5"/>
            <c:spPr>
              <a:noFill/>
              <a:ln w="9525">
                <a:solidFill>
                  <a:srgbClr val="C00000"/>
                </a:solidFill>
              </a:ln>
              <a:effectLst/>
            </c:spPr>
          </c:marker>
          <c:xVal>
            <c:numRef>
              <c:f>Sheet1!$K$42:$N$42</c:f>
              <c:numCache>
                <c:formatCode>General</c:formatCode>
                <c:ptCount val="4"/>
                <c:pt idx="0">
                  <c:v>0</c:v>
                </c:pt>
                <c:pt idx="1">
                  <c:v>0.01</c:v>
                </c:pt>
                <c:pt idx="2">
                  <c:v>0.05</c:v>
                </c:pt>
                <c:pt idx="3">
                  <c:v>0.1</c:v>
                </c:pt>
              </c:numCache>
            </c:numRef>
          </c:xVal>
          <c:yVal>
            <c:numRef>
              <c:f>Sheet1!$K$51:$N$51</c:f>
              <c:numCache>
                <c:formatCode>0.000000</c:formatCode>
                <c:ptCount val="4"/>
                <c:pt idx="0">
                  <c:v>1.1715633333333331</c:v>
                </c:pt>
                <c:pt idx="1">
                  <c:v>1.1727000000000001</c:v>
                </c:pt>
                <c:pt idx="2">
                  <c:v>1.1712133333333341</c:v>
                </c:pt>
                <c:pt idx="3">
                  <c:v>1.17235</c:v>
                </c:pt>
              </c:numCache>
            </c:numRef>
          </c:yVal>
          <c:smooth val="1"/>
          <c:extLst>
            <c:ext xmlns:c16="http://schemas.microsoft.com/office/drawing/2014/chart" uri="{C3380CC4-5D6E-409C-BE32-E72D297353CC}">
              <c16:uniqueId val="{00000002-3D66-4256-82DA-0F550795209B}"/>
            </c:ext>
          </c:extLst>
        </c:ser>
        <c:dLbls>
          <c:showLegendKey val="0"/>
          <c:showVal val="0"/>
          <c:showCatName val="0"/>
          <c:showSerName val="0"/>
          <c:showPercent val="0"/>
          <c:showBubbleSize val="0"/>
        </c:dLbls>
        <c:axId val="1793578592"/>
        <c:axId val="1793600896"/>
      </c:scatterChart>
      <c:valAx>
        <c:axId val="1793578592"/>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3600896"/>
        <c:crosses val="autoZero"/>
        <c:crossBetween val="midCat"/>
      </c:valAx>
      <c:valAx>
        <c:axId val="1793600896"/>
        <c:scaling>
          <c:orientation val="minMax"/>
          <c:min val="1.17"/>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Density (g/cm</a:t>
                </a:r>
                <a:r>
                  <a:rPr lang="en-MY" baseline="30000"/>
                  <a:t>3</a:t>
                </a:r>
                <a:r>
                  <a:rPr lang="en-MY"/>
                  <a:t>)</a:t>
                </a:r>
              </a:p>
            </c:rich>
          </c:tx>
          <c:overlay val="0"/>
          <c:spPr>
            <a:noFill/>
            <a:ln>
              <a:noFill/>
            </a:ln>
            <a:effectLst/>
          </c:sp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3578592"/>
        <c:crosses val="autoZero"/>
        <c:crossBetween val="midCat"/>
        <c:majorUnit val="0.01"/>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Sheet1!$J$52</c:f>
              <c:strCache>
                <c:ptCount val="1"/>
                <c:pt idx="0">
                  <c:v>25</c:v>
                </c:pt>
              </c:strCache>
            </c:strRef>
          </c:tx>
          <c:spPr>
            <a:ln w="19050" cap="rnd">
              <a:solidFill>
                <a:srgbClr val="FFC000"/>
              </a:solidFill>
              <a:prstDash val="dash"/>
              <a:round/>
            </a:ln>
            <a:effectLst/>
          </c:spPr>
          <c:marker>
            <c:symbol val="circle"/>
            <c:size val="5"/>
            <c:spPr>
              <a:solidFill>
                <a:srgbClr val="FFC000"/>
              </a:solidFill>
              <a:ln w="9525">
                <a:solidFill>
                  <a:srgbClr val="FFC000"/>
                </a:solidFill>
              </a:ln>
              <a:effectLst/>
            </c:spPr>
          </c:marker>
          <c:xVal>
            <c:numRef>
              <c:f>Sheet1!$K$42:$N$42</c:f>
              <c:numCache>
                <c:formatCode>General</c:formatCode>
                <c:ptCount val="4"/>
                <c:pt idx="0">
                  <c:v>0</c:v>
                </c:pt>
                <c:pt idx="1">
                  <c:v>0.01</c:v>
                </c:pt>
                <c:pt idx="2">
                  <c:v>0.05</c:v>
                </c:pt>
                <c:pt idx="3">
                  <c:v>0.1</c:v>
                </c:pt>
              </c:numCache>
            </c:numRef>
          </c:xVal>
          <c:yVal>
            <c:numRef>
              <c:f>Sheet1!$K$52:$N$52</c:f>
              <c:numCache>
                <c:formatCode>0.000000</c:formatCode>
                <c:ptCount val="4"/>
                <c:pt idx="0">
                  <c:v>1.2154799999999999</c:v>
                </c:pt>
                <c:pt idx="1">
                  <c:v>1.21963</c:v>
                </c:pt>
                <c:pt idx="2">
                  <c:v>1.219303333333333</c:v>
                </c:pt>
                <c:pt idx="3">
                  <c:v>1.2187833333333331</c:v>
                </c:pt>
              </c:numCache>
            </c:numRef>
          </c:yVal>
          <c:smooth val="1"/>
          <c:extLst>
            <c:ext xmlns:c16="http://schemas.microsoft.com/office/drawing/2014/chart" uri="{C3380CC4-5D6E-409C-BE32-E72D297353CC}">
              <c16:uniqueId val="{00000000-229E-4535-AAF8-348A9DBF9AB0}"/>
            </c:ext>
          </c:extLst>
        </c:ser>
        <c:ser>
          <c:idx val="1"/>
          <c:order val="1"/>
          <c:tx>
            <c:strRef>
              <c:f>Sheet1!$J$53</c:f>
              <c:strCache>
                <c:ptCount val="1"/>
                <c:pt idx="0">
                  <c:v>40</c:v>
                </c:pt>
              </c:strCache>
            </c:strRef>
          </c:tx>
          <c:spPr>
            <a:ln w="19050" cap="rnd">
              <a:solidFill>
                <a:srgbClr val="0070C0"/>
              </a:solidFill>
              <a:prstDash val="dash"/>
              <a:round/>
            </a:ln>
            <a:effectLst/>
          </c:spPr>
          <c:marker>
            <c:symbol val="diamond"/>
            <c:size val="5"/>
            <c:spPr>
              <a:solidFill>
                <a:srgbClr val="0070C0"/>
              </a:solidFill>
              <a:ln w="9525">
                <a:solidFill>
                  <a:srgbClr val="0070C0"/>
                </a:solidFill>
              </a:ln>
              <a:effectLst/>
            </c:spPr>
          </c:marker>
          <c:xVal>
            <c:numRef>
              <c:f>Sheet1!$K$42:$N$42</c:f>
              <c:numCache>
                <c:formatCode>General</c:formatCode>
                <c:ptCount val="4"/>
                <c:pt idx="0">
                  <c:v>0</c:v>
                </c:pt>
                <c:pt idx="1">
                  <c:v>0.01</c:v>
                </c:pt>
                <c:pt idx="2">
                  <c:v>0.05</c:v>
                </c:pt>
                <c:pt idx="3">
                  <c:v>0.1</c:v>
                </c:pt>
              </c:numCache>
            </c:numRef>
          </c:xVal>
          <c:yVal>
            <c:numRef>
              <c:f>Sheet1!$K$53:$N$53</c:f>
              <c:numCache>
                <c:formatCode>0.000000</c:formatCode>
                <c:ptCount val="4"/>
                <c:pt idx="0">
                  <c:v>1.2067000000000001</c:v>
                </c:pt>
                <c:pt idx="1">
                  <c:v>1.2109000000000001</c:v>
                </c:pt>
                <c:pt idx="2">
                  <c:v>1.210633333333333</c:v>
                </c:pt>
                <c:pt idx="3">
                  <c:v>1.2101033333333331</c:v>
                </c:pt>
              </c:numCache>
            </c:numRef>
          </c:yVal>
          <c:smooth val="1"/>
          <c:extLst>
            <c:ext xmlns:c16="http://schemas.microsoft.com/office/drawing/2014/chart" uri="{C3380CC4-5D6E-409C-BE32-E72D297353CC}">
              <c16:uniqueId val="{00000001-229E-4535-AAF8-348A9DBF9AB0}"/>
            </c:ext>
          </c:extLst>
        </c:ser>
        <c:ser>
          <c:idx val="2"/>
          <c:order val="2"/>
          <c:tx>
            <c:strRef>
              <c:f>Sheet1!$J$54</c:f>
              <c:strCache>
                <c:ptCount val="1"/>
                <c:pt idx="0">
                  <c:v>90</c:v>
                </c:pt>
              </c:strCache>
            </c:strRef>
          </c:tx>
          <c:spPr>
            <a:ln w="19050" cap="rnd">
              <a:solidFill>
                <a:srgbClr val="C00000"/>
              </a:solidFill>
              <a:prstDash val="dash"/>
              <a:round/>
            </a:ln>
            <a:effectLst/>
          </c:spPr>
          <c:marker>
            <c:symbol val="x"/>
            <c:size val="5"/>
            <c:spPr>
              <a:noFill/>
              <a:ln w="9525">
                <a:solidFill>
                  <a:srgbClr val="C00000"/>
                </a:solidFill>
              </a:ln>
              <a:effectLst/>
            </c:spPr>
          </c:marker>
          <c:xVal>
            <c:numRef>
              <c:f>Sheet1!$K$42:$N$42</c:f>
              <c:numCache>
                <c:formatCode>General</c:formatCode>
                <c:ptCount val="4"/>
                <c:pt idx="0">
                  <c:v>0</c:v>
                </c:pt>
                <c:pt idx="1">
                  <c:v>0.01</c:v>
                </c:pt>
                <c:pt idx="2">
                  <c:v>0.05</c:v>
                </c:pt>
                <c:pt idx="3">
                  <c:v>0.1</c:v>
                </c:pt>
              </c:numCache>
            </c:numRef>
          </c:xVal>
          <c:yVal>
            <c:numRef>
              <c:f>Sheet1!$K$54:$N$54</c:f>
              <c:numCache>
                <c:formatCode>0.000000</c:formatCode>
                <c:ptCount val="4"/>
                <c:pt idx="0">
                  <c:v>1.176643333333333</c:v>
                </c:pt>
                <c:pt idx="1">
                  <c:v>1.1809799999999999</c:v>
                </c:pt>
                <c:pt idx="2">
                  <c:v>1.18093</c:v>
                </c:pt>
                <c:pt idx="3">
                  <c:v>1.1801200000000001</c:v>
                </c:pt>
              </c:numCache>
            </c:numRef>
          </c:yVal>
          <c:smooth val="1"/>
          <c:extLst>
            <c:ext xmlns:c16="http://schemas.microsoft.com/office/drawing/2014/chart" uri="{C3380CC4-5D6E-409C-BE32-E72D297353CC}">
              <c16:uniqueId val="{00000002-229E-4535-AAF8-348A9DBF9AB0}"/>
            </c:ext>
          </c:extLst>
        </c:ser>
        <c:dLbls>
          <c:showLegendKey val="0"/>
          <c:showVal val="0"/>
          <c:showCatName val="0"/>
          <c:showSerName val="0"/>
          <c:showPercent val="0"/>
          <c:showBubbleSize val="0"/>
        </c:dLbls>
        <c:axId val="1793603072"/>
        <c:axId val="1793582944"/>
      </c:scatterChart>
      <c:valAx>
        <c:axId val="1793603072"/>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3582944"/>
        <c:crosses val="autoZero"/>
        <c:crossBetween val="midCat"/>
      </c:valAx>
      <c:valAx>
        <c:axId val="1793582944"/>
        <c:scaling>
          <c:orientation val="minMax"/>
          <c:min val="1.175"/>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Density (g/cm</a:t>
                </a:r>
                <a:r>
                  <a:rPr lang="en-MY" baseline="30000"/>
                  <a:t>3</a:t>
                </a:r>
                <a:r>
                  <a:rPr lang="en-MY"/>
                  <a:t>)</a:t>
                </a:r>
              </a:p>
            </c:rich>
          </c:tx>
          <c:overlay val="0"/>
          <c:spPr>
            <a:noFill/>
            <a:ln>
              <a:noFill/>
            </a:ln>
            <a:effectLst/>
          </c:sp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3603072"/>
        <c:crosses val="autoZero"/>
        <c:crossBetween val="midCat"/>
        <c:majorUnit val="0.01"/>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Sheet1!$J$55</c:f>
              <c:strCache>
                <c:ptCount val="1"/>
                <c:pt idx="0">
                  <c:v>25</c:v>
                </c:pt>
              </c:strCache>
            </c:strRef>
          </c:tx>
          <c:spPr>
            <a:ln w="19050" cap="rnd">
              <a:solidFill>
                <a:srgbClr val="FFC000"/>
              </a:solidFill>
              <a:prstDash val="dash"/>
              <a:round/>
            </a:ln>
            <a:effectLst/>
          </c:spPr>
          <c:marker>
            <c:symbol val="circle"/>
            <c:size val="5"/>
            <c:spPr>
              <a:solidFill>
                <a:srgbClr val="FFC000"/>
              </a:solidFill>
              <a:ln w="9525">
                <a:solidFill>
                  <a:srgbClr val="FFC000"/>
                </a:solidFill>
              </a:ln>
              <a:effectLst/>
            </c:spPr>
          </c:marker>
          <c:xVal>
            <c:numRef>
              <c:f>Sheet1!$K$42:$N$42</c:f>
              <c:numCache>
                <c:formatCode>General</c:formatCode>
                <c:ptCount val="4"/>
                <c:pt idx="0">
                  <c:v>0</c:v>
                </c:pt>
                <c:pt idx="1">
                  <c:v>0.01</c:v>
                </c:pt>
                <c:pt idx="2">
                  <c:v>0.05</c:v>
                </c:pt>
                <c:pt idx="3">
                  <c:v>0.1</c:v>
                </c:pt>
              </c:numCache>
            </c:numRef>
          </c:xVal>
          <c:yVal>
            <c:numRef>
              <c:f>Sheet1!$K$55:$N$55</c:f>
              <c:numCache>
                <c:formatCode>0.000000</c:formatCode>
                <c:ptCount val="4"/>
                <c:pt idx="0">
                  <c:v>1.1339766666666671</c:v>
                </c:pt>
                <c:pt idx="1">
                  <c:v>1.1368</c:v>
                </c:pt>
                <c:pt idx="2">
                  <c:v>1.1374366666666671</c:v>
                </c:pt>
                <c:pt idx="3">
                  <c:v>1.1377066666666671</c:v>
                </c:pt>
              </c:numCache>
            </c:numRef>
          </c:yVal>
          <c:smooth val="1"/>
          <c:extLst>
            <c:ext xmlns:c16="http://schemas.microsoft.com/office/drawing/2014/chart" uri="{C3380CC4-5D6E-409C-BE32-E72D297353CC}">
              <c16:uniqueId val="{00000000-3717-4CAB-82ED-7B71841F7726}"/>
            </c:ext>
          </c:extLst>
        </c:ser>
        <c:ser>
          <c:idx val="1"/>
          <c:order val="1"/>
          <c:tx>
            <c:strRef>
              <c:f>Sheet1!$J$56</c:f>
              <c:strCache>
                <c:ptCount val="1"/>
                <c:pt idx="0">
                  <c:v>40</c:v>
                </c:pt>
              </c:strCache>
            </c:strRef>
          </c:tx>
          <c:spPr>
            <a:ln w="19050" cap="rnd">
              <a:solidFill>
                <a:srgbClr val="0070C0"/>
              </a:solidFill>
              <a:prstDash val="dash"/>
              <a:round/>
            </a:ln>
            <a:effectLst/>
          </c:spPr>
          <c:marker>
            <c:symbol val="diamond"/>
            <c:size val="5"/>
            <c:spPr>
              <a:solidFill>
                <a:srgbClr val="0070C0"/>
              </a:solidFill>
              <a:ln w="9525">
                <a:solidFill>
                  <a:srgbClr val="0070C0"/>
                </a:solidFill>
              </a:ln>
              <a:effectLst/>
            </c:spPr>
          </c:marker>
          <c:xVal>
            <c:numRef>
              <c:f>Sheet1!$K$42:$N$42</c:f>
              <c:numCache>
                <c:formatCode>General</c:formatCode>
                <c:ptCount val="4"/>
                <c:pt idx="0">
                  <c:v>0</c:v>
                </c:pt>
                <c:pt idx="1">
                  <c:v>0.01</c:v>
                </c:pt>
                <c:pt idx="2">
                  <c:v>0.05</c:v>
                </c:pt>
                <c:pt idx="3">
                  <c:v>0.1</c:v>
                </c:pt>
              </c:numCache>
            </c:numRef>
          </c:xVal>
          <c:yVal>
            <c:numRef>
              <c:f>Sheet1!$K$56:$N$56</c:f>
              <c:numCache>
                <c:formatCode>0.000000</c:formatCode>
                <c:ptCount val="4"/>
                <c:pt idx="0">
                  <c:v>1.1219766666666671</c:v>
                </c:pt>
                <c:pt idx="1">
                  <c:v>1.1249499999999999</c:v>
                </c:pt>
                <c:pt idx="2">
                  <c:v>1.1254200000000001</c:v>
                </c:pt>
                <c:pt idx="3">
                  <c:v>1.1256600000000001</c:v>
                </c:pt>
              </c:numCache>
            </c:numRef>
          </c:yVal>
          <c:smooth val="1"/>
          <c:extLst>
            <c:ext xmlns:c16="http://schemas.microsoft.com/office/drawing/2014/chart" uri="{C3380CC4-5D6E-409C-BE32-E72D297353CC}">
              <c16:uniqueId val="{00000001-3717-4CAB-82ED-7B71841F7726}"/>
            </c:ext>
          </c:extLst>
        </c:ser>
        <c:ser>
          <c:idx val="2"/>
          <c:order val="2"/>
          <c:tx>
            <c:strRef>
              <c:f>Sheet1!$J$57</c:f>
              <c:strCache>
                <c:ptCount val="1"/>
                <c:pt idx="0">
                  <c:v>90</c:v>
                </c:pt>
              </c:strCache>
            </c:strRef>
          </c:tx>
          <c:spPr>
            <a:ln w="19050" cap="rnd">
              <a:solidFill>
                <a:srgbClr val="C00000"/>
              </a:solidFill>
              <a:prstDash val="dash"/>
              <a:round/>
            </a:ln>
            <a:effectLst/>
          </c:spPr>
          <c:marker>
            <c:symbol val="x"/>
            <c:size val="5"/>
            <c:spPr>
              <a:noFill/>
              <a:ln w="9525">
                <a:solidFill>
                  <a:srgbClr val="C00000"/>
                </a:solidFill>
              </a:ln>
              <a:effectLst/>
            </c:spPr>
          </c:marker>
          <c:xVal>
            <c:numRef>
              <c:f>Sheet1!$K$42:$N$42</c:f>
              <c:numCache>
                <c:formatCode>General</c:formatCode>
                <c:ptCount val="4"/>
                <c:pt idx="0">
                  <c:v>0</c:v>
                </c:pt>
                <c:pt idx="1">
                  <c:v>0.01</c:v>
                </c:pt>
                <c:pt idx="2">
                  <c:v>0.05</c:v>
                </c:pt>
                <c:pt idx="3">
                  <c:v>0.1</c:v>
                </c:pt>
              </c:numCache>
            </c:numRef>
          </c:xVal>
          <c:yVal>
            <c:numRef>
              <c:f>Sheet1!$K$57:$N$57</c:f>
              <c:numCache>
                <c:formatCode>0.000000</c:formatCode>
                <c:ptCount val="4"/>
                <c:pt idx="0">
                  <c:v>1.082406666666667</c:v>
                </c:pt>
                <c:pt idx="1">
                  <c:v>1.08504</c:v>
                </c:pt>
                <c:pt idx="2">
                  <c:v>1.085463333333333</c:v>
                </c:pt>
                <c:pt idx="3">
                  <c:v>1.085703333333333</c:v>
                </c:pt>
              </c:numCache>
            </c:numRef>
          </c:yVal>
          <c:smooth val="1"/>
          <c:extLst>
            <c:ext xmlns:c16="http://schemas.microsoft.com/office/drawing/2014/chart" uri="{C3380CC4-5D6E-409C-BE32-E72D297353CC}">
              <c16:uniqueId val="{00000002-3717-4CAB-82ED-7B71841F7726}"/>
            </c:ext>
          </c:extLst>
        </c:ser>
        <c:dLbls>
          <c:showLegendKey val="0"/>
          <c:showVal val="0"/>
          <c:showCatName val="0"/>
          <c:showSerName val="0"/>
          <c:showPercent val="0"/>
          <c:showBubbleSize val="0"/>
        </c:dLbls>
        <c:axId val="1793586752"/>
        <c:axId val="1793594912"/>
      </c:scatterChart>
      <c:valAx>
        <c:axId val="1793586752"/>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3594912"/>
        <c:crosses val="autoZero"/>
        <c:crossBetween val="midCat"/>
      </c:valAx>
      <c:valAx>
        <c:axId val="1793594912"/>
        <c:scaling>
          <c:orientation val="minMax"/>
          <c:max val="1.1399999999999999"/>
          <c:min val="1.08"/>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Density (g/cm</a:t>
                </a:r>
                <a:r>
                  <a:rPr lang="en-MY" baseline="30000"/>
                  <a:t>3</a:t>
                </a:r>
                <a:r>
                  <a:rPr lang="en-MY"/>
                  <a:t>)</a:t>
                </a:r>
              </a:p>
            </c:rich>
          </c:tx>
          <c:overlay val="0"/>
          <c:spPr>
            <a:noFill/>
            <a:ln>
              <a:noFill/>
            </a:ln>
            <a:effectLst/>
          </c:sp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3586752"/>
        <c:crosses val="autoZero"/>
        <c:crossBetween val="midCat"/>
        <c:majorUnit val="0.01"/>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Sheet1!$J$58</c:f>
              <c:strCache>
                <c:ptCount val="1"/>
                <c:pt idx="0">
                  <c:v>25</c:v>
                </c:pt>
              </c:strCache>
            </c:strRef>
          </c:tx>
          <c:spPr>
            <a:ln w="19050" cap="rnd">
              <a:solidFill>
                <a:srgbClr val="FFC000"/>
              </a:solidFill>
              <a:prstDash val="dash"/>
              <a:round/>
            </a:ln>
            <a:effectLst/>
          </c:spPr>
          <c:marker>
            <c:symbol val="circle"/>
            <c:size val="5"/>
            <c:spPr>
              <a:solidFill>
                <a:srgbClr val="FFC000"/>
              </a:solidFill>
              <a:ln w="9525">
                <a:solidFill>
                  <a:srgbClr val="FFC000"/>
                </a:solidFill>
              </a:ln>
              <a:effectLst/>
            </c:spPr>
          </c:marker>
          <c:xVal>
            <c:numRef>
              <c:f>Sheet1!$K$42:$N$42</c:f>
              <c:numCache>
                <c:formatCode>General</c:formatCode>
                <c:ptCount val="4"/>
                <c:pt idx="0">
                  <c:v>0</c:v>
                </c:pt>
                <c:pt idx="1">
                  <c:v>0.01</c:v>
                </c:pt>
                <c:pt idx="2">
                  <c:v>0.05</c:v>
                </c:pt>
                <c:pt idx="3">
                  <c:v>0.1</c:v>
                </c:pt>
              </c:numCache>
            </c:numRef>
          </c:xVal>
          <c:yVal>
            <c:numRef>
              <c:f>Sheet1!$K$58:$N$58</c:f>
              <c:numCache>
                <c:formatCode>0.000000</c:formatCode>
                <c:ptCount val="4"/>
                <c:pt idx="0">
                  <c:v>1.1350100000000001</c:v>
                </c:pt>
                <c:pt idx="1">
                  <c:v>1.1343466666666671</c:v>
                </c:pt>
                <c:pt idx="2">
                  <c:v>1.1345400000000001</c:v>
                </c:pt>
                <c:pt idx="3">
                  <c:v>1.1347033333333341</c:v>
                </c:pt>
              </c:numCache>
            </c:numRef>
          </c:yVal>
          <c:smooth val="1"/>
          <c:extLst>
            <c:ext xmlns:c16="http://schemas.microsoft.com/office/drawing/2014/chart" uri="{C3380CC4-5D6E-409C-BE32-E72D297353CC}">
              <c16:uniqueId val="{00000000-F260-4A02-AF76-7B91066950C6}"/>
            </c:ext>
          </c:extLst>
        </c:ser>
        <c:ser>
          <c:idx val="1"/>
          <c:order val="1"/>
          <c:tx>
            <c:strRef>
              <c:f>Sheet1!$J$59</c:f>
              <c:strCache>
                <c:ptCount val="1"/>
                <c:pt idx="0">
                  <c:v>40</c:v>
                </c:pt>
              </c:strCache>
            </c:strRef>
          </c:tx>
          <c:spPr>
            <a:ln w="19050" cap="rnd">
              <a:solidFill>
                <a:srgbClr val="0070C0"/>
              </a:solidFill>
              <a:prstDash val="dash"/>
              <a:round/>
            </a:ln>
            <a:effectLst/>
          </c:spPr>
          <c:marker>
            <c:symbol val="diamond"/>
            <c:size val="5"/>
            <c:spPr>
              <a:solidFill>
                <a:srgbClr val="0070C0"/>
              </a:solidFill>
              <a:ln w="9525">
                <a:solidFill>
                  <a:srgbClr val="0070C0"/>
                </a:solidFill>
              </a:ln>
              <a:effectLst/>
            </c:spPr>
          </c:marker>
          <c:xVal>
            <c:numRef>
              <c:f>Sheet1!$K$42:$N$42</c:f>
              <c:numCache>
                <c:formatCode>General</c:formatCode>
                <c:ptCount val="4"/>
                <c:pt idx="0">
                  <c:v>0</c:v>
                </c:pt>
                <c:pt idx="1">
                  <c:v>0.01</c:v>
                </c:pt>
                <c:pt idx="2">
                  <c:v>0.05</c:v>
                </c:pt>
                <c:pt idx="3">
                  <c:v>0.1</c:v>
                </c:pt>
              </c:numCache>
            </c:numRef>
          </c:xVal>
          <c:yVal>
            <c:numRef>
              <c:f>Sheet1!$K$59:$N$59</c:f>
              <c:numCache>
                <c:formatCode>0.000000</c:formatCode>
                <c:ptCount val="4"/>
                <c:pt idx="0">
                  <c:v>1.12314</c:v>
                </c:pt>
                <c:pt idx="1">
                  <c:v>1.1224333333333341</c:v>
                </c:pt>
                <c:pt idx="2">
                  <c:v>1.1226499999999999</c:v>
                </c:pt>
                <c:pt idx="3">
                  <c:v>1.1224566666666671</c:v>
                </c:pt>
              </c:numCache>
            </c:numRef>
          </c:yVal>
          <c:smooth val="1"/>
          <c:extLst>
            <c:ext xmlns:c16="http://schemas.microsoft.com/office/drawing/2014/chart" uri="{C3380CC4-5D6E-409C-BE32-E72D297353CC}">
              <c16:uniqueId val="{00000001-F260-4A02-AF76-7B91066950C6}"/>
            </c:ext>
          </c:extLst>
        </c:ser>
        <c:ser>
          <c:idx val="2"/>
          <c:order val="2"/>
          <c:tx>
            <c:strRef>
              <c:f>Sheet1!$J$60</c:f>
              <c:strCache>
                <c:ptCount val="1"/>
                <c:pt idx="0">
                  <c:v>90</c:v>
                </c:pt>
              </c:strCache>
            </c:strRef>
          </c:tx>
          <c:spPr>
            <a:ln w="19050" cap="rnd">
              <a:solidFill>
                <a:srgbClr val="C00000"/>
              </a:solidFill>
              <a:prstDash val="dash"/>
              <a:round/>
            </a:ln>
            <a:effectLst/>
          </c:spPr>
          <c:marker>
            <c:symbol val="x"/>
            <c:size val="5"/>
            <c:spPr>
              <a:noFill/>
              <a:ln w="9525">
                <a:solidFill>
                  <a:srgbClr val="C00000"/>
                </a:solidFill>
              </a:ln>
              <a:effectLst/>
            </c:spPr>
          </c:marker>
          <c:xVal>
            <c:numRef>
              <c:f>Sheet1!$K$42:$N$42</c:f>
              <c:numCache>
                <c:formatCode>General</c:formatCode>
                <c:ptCount val="4"/>
                <c:pt idx="0">
                  <c:v>0</c:v>
                </c:pt>
                <c:pt idx="1">
                  <c:v>0.01</c:v>
                </c:pt>
                <c:pt idx="2">
                  <c:v>0.05</c:v>
                </c:pt>
                <c:pt idx="3">
                  <c:v>0.1</c:v>
                </c:pt>
              </c:numCache>
            </c:numRef>
          </c:xVal>
          <c:yVal>
            <c:numRef>
              <c:f>Sheet1!$K$60:$N$60</c:f>
              <c:numCache>
                <c:formatCode>0.000000</c:formatCode>
                <c:ptCount val="4"/>
                <c:pt idx="0">
                  <c:v>1.083673333333333</c:v>
                </c:pt>
                <c:pt idx="1">
                  <c:v>1.082513333333333</c:v>
                </c:pt>
                <c:pt idx="2">
                  <c:v>1.082786666666667</c:v>
                </c:pt>
                <c:pt idx="3">
                  <c:v>1.0827433333333341</c:v>
                </c:pt>
              </c:numCache>
            </c:numRef>
          </c:yVal>
          <c:smooth val="1"/>
          <c:extLst>
            <c:ext xmlns:c16="http://schemas.microsoft.com/office/drawing/2014/chart" uri="{C3380CC4-5D6E-409C-BE32-E72D297353CC}">
              <c16:uniqueId val="{00000002-F260-4A02-AF76-7B91066950C6}"/>
            </c:ext>
          </c:extLst>
        </c:ser>
        <c:dLbls>
          <c:showLegendKey val="0"/>
          <c:showVal val="0"/>
          <c:showCatName val="0"/>
          <c:showSerName val="0"/>
          <c:showPercent val="0"/>
          <c:showBubbleSize val="0"/>
        </c:dLbls>
        <c:axId val="1793598720"/>
        <c:axId val="1793593280"/>
      </c:scatterChart>
      <c:valAx>
        <c:axId val="1793598720"/>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3593280"/>
        <c:crosses val="autoZero"/>
        <c:crossBetween val="midCat"/>
      </c:valAx>
      <c:valAx>
        <c:axId val="1793593280"/>
        <c:scaling>
          <c:orientation val="minMax"/>
          <c:min val="1.08"/>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Density (g/cm</a:t>
                </a:r>
                <a:r>
                  <a:rPr lang="en-MY" baseline="30000"/>
                  <a:t>3</a:t>
                </a:r>
                <a:r>
                  <a:rPr lang="en-MY"/>
                  <a:t>)</a:t>
                </a:r>
              </a:p>
            </c:rich>
          </c:tx>
          <c:overlay val="0"/>
          <c:spPr>
            <a:noFill/>
            <a:ln>
              <a:noFill/>
            </a:ln>
            <a:effectLst/>
          </c:sp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3598720"/>
        <c:crosses val="autoZero"/>
        <c:crossBetween val="midCat"/>
        <c:majorUnit val="0.01"/>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Sheet1!$J$61</c:f>
              <c:strCache>
                <c:ptCount val="1"/>
                <c:pt idx="0">
                  <c:v>25</c:v>
                </c:pt>
              </c:strCache>
            </c:strRef>
          </c:tx>
          <c:spPr>
            <a:ln w="19050" cap="rnd">
              <a:solidFill>
                <a:srgbClr val="FFC000"/>
              </a:solidFill>
              <a:prstDash val="dash"/>
              <a:round/>
            </a:ln>
            <a:effectLst/>
          </c:spPr>
          <c:marker>
            <c:symbol val="circle"/>
            <c:size val="5"/>
            <c:spPr>
              <a:solidFill>
                <a:srgbClr val="FFC000"/>
              </a:solidFill>
              <a:ln w="9525">
                <a:solidFill>
                  <a:srgbClr val="FFC000"/>
                </a:solidFill>
              </a:ln>
              <a:effectLst/>
            </c:spPr>
          </c:marker>
          <c:xVal>
            <c:numRef>
              <c:f>Sheet1!$K$42:$N$42</c:f>
              <c:numCache>
                <c:formatCode>General</c:formatCode>
                <c:ptCount val="4"/>
                <c:pt idx="0">
                  <c:v>0</c:v>
                </c:pt>
                <c:pt idx="1">
                  <c:v>0.01</c:v>
                </c:pt>
                <c:pt idx="2">
                  <c:v>0.05</c:v>
                </c:pt>
                <c:pt idx="3">
                  <c:v>0.1</c:v>
                </c:pt>
              </c:numCache>
            </c:numRef>
          </c:xVal>
          <c:yVal>
            <c:numRef>
              <c:f>Sheet1!$K$61:$N$61</c:f>
              <c:numCache>
                <c:formatCode>0.000000</c:formatCode>
                <c:ptCount val="4"/>
                <c:pt idx="0">
                  <c:v>1.131766666666667</c:v>
                </c:pt>
                <c:pt idx="1">
                  <c:v>1.1325700000000001</c:v>
                </c:pt>
                <c:pt idx="2">
                  <c:v>1.1327366666666669</c:v>
                </c:pt>
                <c:pt idx="3">
                  <c:v>1.1329966666666671</c:v>
                </c:pt>
              </c:numCache>
            </c:numRef>
          </c:yVal>
          <c:smooth val="1"/>
          <c:extLst>
            <c:ext xmlns:c16="http://schemas.microsoft.com/office/drawing/2014/chart" uri="{C3380CC4-5D6E-409C-BE32-E72D297353CC}">
              <c16:uniqueId val="{00000000-7C99-4123-BEB0-2059B9A3DF3C}"/>
            </c:ext>
          </c:extLst>
        </c:ser>
        <c:ser>
          <c:idx val="1"/>
          <c:order val="1"/>
          <c:tx>
            <c:strRef>
              <c:f>Sheet1!$J$62</c:f>
              <c:strCache>
                <c:ptCount val="1"/>
                <c:pt idx="0">
                  <c:v>40</c:v>
                </c:pt>
              </c:strCache>
            </c:strRef>
          </c:tx>
          <c:spPr>
            <a:ln w="19050" cap="rnd">
              <a:solidFill>
                <a:srgbClr val="0070C0"/>
              </a:solidFill>
              <a:prstDash val="dash"/>
              <a:round/>
            </a:ln>
            <a:effectLst/>
          </c:spPr>
          <c:marker>
            <c:symbol val="diamond"/>
            <c:size val="5"/>
            <c:spPr>
              <a:solidFill>
                <a:srgbClr val="0070C0"/>
              </a:solidFill>
              <a:ln w="9525">
                <a:solidFill>
                  <a:srgbClr val="0070C0"/>
                </a:solidFill>
              </a:ln>
              <a:effectLst/>
            </c:spPr>
          </c:marker>
          <c:xVal>
            <c:numRef>
              <c:f>Sheet1!$K$42:$N$42</c:f>
              <c:numCache>
                <c:formatCode>General</c:formatCode>
                <c:ptCount val="4"/>
                <c:pt idx="0">
                  <c:v>0</c:v>
                </c:pt>
                <c:pt idx="1">
                  <c:v>0.01</c:v>
                </c:pt>
                <c:pt idx="2">
                  <c:v>0.05</c:v>
                </c:pt>
                <c:pt idx="3">
                  <c:v>0.1</c:v>
                </c:pt>
              </c:numCache>
            </c:numRef>
          </c:xVal>
          <c:yVal>
            <c:numRef>
              <c:f>Sheet1!$K$62:$N$62</c:f>
              <c:numCache>
                <c:formatCode>0.000000</c:formatCode>
                <c:ptCount val="4"/>
                <c:pt idx="0">
                  <c:v>1.1197466666666669</c:v>
                </c:pt>
                <c:pt idx="1">
                  <c:v>1.1205700000000001</c:v>
                </c:pt>
                <c:pt idx="2">
                  <c:v>1.1207499999999999</c:v>
                </c:pt>
                <c:pt idx="3">
                  <c:v>1.1210266666666671</c:v>
                </c:pt>
              </c:numCache>
            </c:numRef>
          </c:yVal>
          <c:smooth val="1"/>
          <c:extLst>
            <c:ext xmlns:c16="http://schemas.microsoft.com/office/drawing/2014/chart" uri="{C3380CC4-5D6E-409C-BE32-E72D297353CC}">
              <c16:uniqueId val="{00000001-7C99-4123-BEB0-2059B9A3DF3C}"/>
            </c:ext>
          </c:extLst>
        </c:ser>
        <c:ser>
          <c:idx val="2"/>
          <c:order val="2"/>
          <c:tx>
            <c:strRef>
              <c:f>Sheet1!$J$63</c:f>
              <c:strCache>
                <c:ptCount val="1"/>
                <c:pt idx="0">
                  <c:v>90</c:v>
                </c:pt>
              </c:strCache>
            </c:strRef>
          </c:tx>
          <c:spPr>
            <a:ln w="19050" cap="rnd">
              <a:solidFill>
                <a:srgbClr val="C00000"/>
              </a:solidFill>
              <a:prstDash val="dash"/>
              <a:round/>
            </a:ln>
            <a:effectLst/>
          </c:spPr>
          <c:marker>
            <c:symbol val="x"/>
            <c:size val="5"/>
            <c:spPr>
              <a:noFill/>
              <a:ln w="9525">
                <a:solidFill>
                  <a:srgbClr val="C00000"/>
                </a:solidFill>
              </a:ln>
              <a:effectLst/>
            </c:spPr>
          </c:marker>
          <c:xVal>
            <c:numRef>
              <c:f>Sheet1!$K$42:$N$42</c:f>
              <c:numCache>
                <c:formatCode>General</c:formatCode>
                <c:ptCount val="4"/>
                <c:pt idx="0">
                  <c:v>0</c:v>
                </c:pt>
                <c:pt idx="1">
                  <c:v>0.01</c:v>
                </c:pt>
                <c:pt idx="2">
                  <c:v>0.05</c:v>
                </c:pt>
                <c:pt idx="3">
                  <c:v>0.1</c:v>
                </c:pt>
              </c:numCache>
            </c:numRef>
          </c:xVal>
          <c:yVal>
            <c:numRef>
              <c:f>Sheet1!$K$63:$N$63</c:f>
              <c:numCache>
                <c:formatCode>0.000000</c:formatCode>
                <c:ptCount val="4"/>
                <c:pt idx="0">
                  <c:v>1.0800266666666669</c:v>
                </c:pt>
                <c:pt idx="1">
                  <c:v>1.0809899999999999</c:v>
                </c:pt>
                <c:pt idx="2">
                  <c:v>1.08118</c:v>
                </c:pt>
                <c:pt idx="3">
                  <c:v>1.0814733333333331</c:v>
                </c:pt>
              </c:numCache>
            </c:numRef>
          </c:yVal>
          <c:smooth val="1"/>
          <c:extLst>
            <c:ext xmlns:c16="http://schemas.microsoft.com/office/drawing/2014/chart" uri="{C3380CC4-5D6E-409C-BE32-E72D297353CC}">
              <c16:uniqueId val="{00000002-7C99-4123-BEB0-2059B9A3DF3C}"/>
            </c:ext>
          </c:extLst>
        </c:ser>
        <c:dLbls>
          <c:showLegendKey val="0"/>
          <c:showVal val="0"/>
          <c:showCatName val="0"/>
          <c:showSerName val="0"/>
          <c:showPercent val="0"/>
          <c:showBubbleSize val="0"/>
        </c:dLbls>
        <c:axId val="1793604704"/>
        <c:axId val="1793605248"/>
      </c:scatterChart>
      <c:valAx>
        <c:axId val="1793604704"/>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3605248"/>
        <c:crosses val="autoZero"/>
        <c:crossBetween val="midCat"/>
      </c:valAx>
      <c:valAx>
        <c:axId val="1793605248"/>
        <c:scaling>
          <c:orientation val="minMax"/>
          <c:max val="1.135"/>
          <c:min val="1.075"/>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Density (g/cm</a:t>
                </a:r>
                <a:r>
                  <a:rPr lang="en-MY" baseline="30000"/>
                  <a:t>3</a:t>
                </a:r>
                <a:r>
                  <a:rPr lang="en-MY"/>
                  <a:t>)</a:t>
                </a:r>
              </a:p>
            </c:rich>
          </c:tx>
          <c:overlay val="0"/>
          <c:spPr>
            <a:noFill/>
            <a:ln>
              <a:noFill/>
            </a:ln>
            <a:effectLst/>
          </c:sp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93604704"/>
        <c:crosses val="autoZero"/>
        <c:crossBetween val="midCat"/>
        <c:majorUnit val="0.01"/>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Sheet1!$J$20</c:f>
              <c:strCache>
                <c:ptCount val="1"/>
                <c:pt idx="0">
                  <c:v>25</c:v>
                </c:pt>
              </c:strCache>
            </c:strRef>
          </c:tx>
          <c:spPr>
            <a:ln w="19050" cap="rnd">
              <a:solidFill>
                <a:srgbClr val="FF0000"/>
              </a:solidFill>
              <a:prstDash val="dash"/>
              <a:round/>
            </a:ln>
            <a:effectLst/>
          </c:spPr>
          <c:marker>
            <c:symbol val="square"/>
            <c:size val="5"/>
            <c:spPr>
              <a:solidFill>
                <a:srgbClr val="FF0000"/>
              </a:solidFill>
              <a:ln w="9525">
                <a:solidFill>
                  <a:srgbClr val="FF0000"/>
                </a:solidFill>
              </a:ln>
              <a:effectLst/>
            </c:spPr>
          </c:marker>
          <c:xVal>
            <c:numRef>
              <c:f>Sheet1!$K$19:$M$19</c:f>
              <c:numCache>
                <c:formatCode>General</c:formatCode>
                <c:ptCount val="3"/>
                <c:pt idx="0">
                  <c:v>0.01</c:v>
                </c:pt>
                <c:pt idx="1">
                  <c:v>0.05</c:v>
                </c:pt>
                <c:pt idx="2">
                  <c:v>0.1</c:v>
                </c:pt>
              </c:numCache>
            </c:numRef>
          </c:xVal>
          <c:yVal>
            <c:numRef>
              <c:f>Sheet1!$K$20:$M$20</c:f>
              <c:numCache>
                <c:formatCode>0.0%</c:formatCode>
                <c:ptCount val="3"/>
                <c:pt idx="0">
                  <c:v>1.69159563132661E-2</c:v>
                </c:pt>
                <c:pt idx="1">
                  <c:v>0.29726125466169401</c:v>
                </c:pt>
                <c:pt idx="2">
                  <c:v>0.49223095364944103</c:v>
                </c:pt>
              </c:numCache>
            </c:numRef>
          </c:yVal>
          <c:smooth val="1"/>
          <c:extLst>
            <c:ext xmlns:c16="http://schemas.microsoft.com/office/drawing/2014/chart" uri="{C3380CC4-5D6E-409C-BE32-E72D297353CC}">
              <c16:uniqueId val="{00000000-FDF0-41C9-BE8E-D30A4D034C84}"/>
            </c:ext>
          </c:extLst>
        </c:ser>
        <c:ser>
          <c:idx val="1"/>
          <c:order val="1"/>
          <c:tx>
            <c:strRef>
              <c:f>Sheet1!$J$21</c:f>
              <c:strCache>
                <c:ptCount val="1"/>
                <c:pt idx="0">
                  <c:v>40</c:v>
                </c:pt>
              </c:strCache>
            </c:strRef>
          </c:tx>
          <c:spPr>
            <a:ln w="19050" cap="rnd">
              <a:solidFill>
                <a:srgbClr val="FFC000"/>
              </a:solidFill>
              <a:prstDash val="dash"/>
              <a:round/>
            </a:ln>
            <a:effectLst/>
          </c:spPr>
          <c:marker>
            <c:symbol val="diamond"/>
            <c:size val="5"/>
            <c:spPr>
              <a:solidFill>
                <a:srgbClr val="FFC000"/>
              </a:solidFill>
              <a:ln w="9525">
                <a:solidFill>
                  <a:srgbClr val="FFC000"/>
                </a:solidFill>
              </a:ln>
              <a:effectLst/>
            </c:spPr>
          </c:marker>
          <c:xVal>
            <c:numRef>
              <c:f>Sheet1!$K$19:$M$19</c:f>
              <c:numCache>
                <c:formatCode>General</c:formatCode>
                <c:ptCount val="3"/>
                <c:pt idx="0">
                  <c:v>0.01</c:v>
                </c:pt>
                <c:pt idx="1">
                  <c:v>0.05</c:v>
                </c:pt>
                <c:pt idx="2">
                  <c:v>0.1</c:v>
                </c:pt>
              </c:numCache>
            </c:numRef>
          </c:xVal>
          <c:yVal>
            <c:numRef>
              <c:f>Sheet1!$K$21:$M$21</c:f>
              <c:numCache>
                <c:formatCode>0.0%</c:formatCode>
                <c:ptCount val="3"/>
                <c:pt idx="0">
                  <c:v>-1.13422293924088E-2</c:v>
                </c:pt>
                <c:pt idx="1">
                  <c:v>0.23712538918209</c:v>
                </c:pt>
                <c:pt idx="2">
                  <c:v>0.43724048379084302</c:v>
                </c:pt>
              </c:numCache>
            </c:numRef>
          </c:yVal>
          <c:smooth val="1"/>
          <c:extLst>
            <c:ext xmlns:c16="http://schemas.microsoft.com/office/drawing/2014/chart" uri="{C3380CC4-5D6E-409C-BE32-E72D297353CC}">
              <c16:uniqueId val="{00000001-FDF0-41C9-BE8E-D30A4D034C84}"/>
            </c:ext>
          </c:extLst>
        </c:ser>
        <c:ser>
          <c:idx val="2"/>
          <c:order val="2"/>
          <c:tx>
            <c:strRef>
              <c:f>Sheet1!$J$22</c:f>
              <c:strCache>
                <c:ptCount val="1"/>
                <c:pt idx="0">
                  <c:v>100</c:v>
                </c:pt>
              </c:strCache>
            </c:strRef>
          </c:tx>
          <c:spPr>
            <a:ln w="19050" cap="rnd">
              <a:solidFill>
                <a:srgbClr val="0070C0"/>
              </a:solidFill>
              <a:prstDash val="dash"/>
              <a:round/>
            </a:ln>
            <a:effectLst/>
          </c:spPr>
          <c:marker>
            <c:symbol val="triangle"/>
            <c:size val="5"/>
            <c:spPr>
              <a:solidFill>
                <a:srgbClr val="0070C0"/>
              </a:solidFill>
              <a:ln w="9525">
                <a:solidFill>
                  <a:srgbClr val="0070C0"/>
                </a:solidFill>
              </a:ln>
              <a:effectLst/>
            </c:spPr>
          </c:marker>
          <c:xVal>
            <c:numRef>
              <c:f>Sheet1!$K$19:$M$19</c:f>
              <c:numCache>
                <c:formatCode>General</c:formatCode>
                <c:ptCount val="3"/>
                <c:pt idx="0">
                  <c:v>0.01</c:v>
                </c:pt>
                <c:pt idx="1">
                  <c:v>0.05</c:v>
                </c:pt>
                <c:pt idx="2">
                  <c:v>0.1</c:v>
                </c:pt>
              </c:numCache>
            </c:numRef>
          </c:xVal>
          <c:yVal>
            <c:numRef>
              <c:f>Sheet1!$K$22:$M$22</c:f>
              <c:numCache>
                <c:formatCode>0.0%</c:formatCode>
                <c:ptCount val="3"/>
                <c:pt idx="0">
                  <c:v>-6.9091022211162098E-3</c:v>
                </c:pt>
                <c:pt idx="1">
                  <c:v>0.24126485410315399</c:v>
                </c:pt>
                <c:pt idx="2">
                  <c:v>0.57148945436446197</c:v>
                </c:pt>
              </c:numCache>
            </c:numRef>
          </c:yVal>
          <c:smooth val="1"/>
          <c:extLst>
            <c:ext xmlns:c16="http://schemas.microsoft.com/office/drawing/2014/chart" uri="{C3380CC4-5D6E-409C-BE32-E72D297353CC}">
              <c16:uniqueId val="{00000002-FDF0-41C9-BE8E-D30A4D034C84}"/>
            </c:ext>
          </c:extLst>
        </c:ser>
        <c:dLbls>
          <c:showLegendKey val="0"/>
          <c:showVal val="0"/>
          <c:showCatName val="0"/>
          <c:showSerName val="0"/>
          <c:showPercent val="0"/>
          <c:showBubbleSize val="0"/>
        </c:dLbls>
        <c:axId val="1946672368"/>
        <c:axId val="1946672912"/>
      </c:scatterChart>
      <c:valAx>
        <c:axId val="1946672368"/>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a:t>Concentration of 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72912"/>
        <c:crosses val="autoZero"/>
        <c:crossBetween val="midCat"/>
      </c:valAx>
      <c:valAx>
        <c:axId val="194667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Enhancemet of Dynamic Viscosity (%)</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72368"/>
        <c:crosses val="autoZero"/>
        <c:crossBetween val="midCat"/>
        <c:majorUnit val="0.2"/>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Sheet1!$J$25</c:f>
              <c:strCache>
                <c:ptCount val="1"/>
                <c:pt idx="0">
                  <c:v>25</c:v>
                </c:pt>
              </c:strCache>
            </c:strRef>
          </c:tx>
          <c:spPr>
            <a:ln w="19050" cap="rnd">
              <a:solidFill>
                <a:srgbClr val="FF0000"/>
              </a:solidFill>
              <a:prstDash val="dash"/>
              <a:round/>
            </a:ln>
            <a:effectLst/>
          </c:spPr>
          <c:marker>
            <c:symbol val="square"/>
            <c:size val="5"/>
            <c:spPr>
              <a:solidFill>
                <a:srgbClr val="FF0000"/>
              </a:solidFill>
              <a:ln w="9525">
                <a:solidFill>
                  <a:srgbClr val="FF0000"/>
                </a:solidFill>
              </a:ln>
              <a:effectLst/>
            </c:spPr>
          </c:marker>
          <c:xVal>
            <c:numRef>
              <c:f>Sheet1!$K$24:$M$24</c:f>
              <c:numCache>
                <c:formatCode>General</c:formatCode>
                <c:ptCount val="3"/>
                <c:pt idx="0">
                  <c:v>0.01</c:v>
                </c:pt>
                <c:pt idx="1">
                  <c:v>0.05</c:v>
                </c:pt>
                <c:pt idx="2">
                  <c:v>0.1</c:v>
                </c:pt>
              </c:numCache>
            </c:numRef>
          </c:xVal>
          <c:yVal>
            <c:numRef>
              <c:f>Sheet1!$K$25:$M$25</c:f>
              <c:numCache>
                <c:formatCode>0.0%</c:formatCode>
                <c:ptCount val="3"/>
                <c:pt idx="0">
                  <c:v>-1.7339343947822699E-2</c:v>
                </c:pt>
                <c:pt idx="1">
                  <c:v>-0.105112219451372</c:v>
                </c:pt>
                <c:pt idx="2">
                  <c:v>0.174249248673189</c:v>
                </c:pt>
              </c:numCache>
            </c:numRef>
          </c:yVal>
          <c:smooth val="1"/>
          <c:extLst>
            <c:ext xmlns:c16="http://schemas.microsoft.com/office/drawing/2014/chart" uri="{C3380CC4-5D6E-409C-BE32-E72D297353CC}">
              <c16:uniqueId val="{00000000-6819-445C-85AC-C26F09F54606}"/>
            </c:ext>
          </c:extLst>
        </c:ser>
        <c:ser>
          <c:idx val="1"/>
          <c:order val="1"/>
          <c:tx>
            <c:strRef>
              <c:f>Sheet1!$J$26</c:f>
              <c:strCache>
                <c:ptCount val="1"/>
                <c:pt idx="0">
                  <c:v>40</c:v>
                </c:pt>
              </c:strCache>
            </c:strRef>
          </c:tx>
          <c:spPr>
            <a:ln w="19050" cap="rnd">
              <a:solidFill>
                <a:srgbClr val="FFC000"/>
              </a:solidFill>
              <a:prstDash val="dash"/>
              <a:round/>
            </a:ln>
            <a:effectLst/>
          </c:spPr>
          <c:marker>
            <c:symbol val="diamond"/>
            <c:size val="5"/>
            <c:spPr>
              <a:solidFill>
                <a:srgbClr val="FFC000"/>
              </a:solidFill>
              <a:ln w="9525">
                <a:solidFill>
                  <a:srgbClr val="FFC000"/>
                </a:solidFill>
              </a:ln>
              <a:effectLst/>
            </c:spPr>
          </c:marker>
          <c:xVal>
            <c:numRef>
              <c:f>Sheet1!$K$24:$M$24</c:f>
              <c:numCache>
                <c:formatCode>General</c:formatCode>
                <c:ptCount val="3"/>
                <c:pt idx="0">
                  <c:v>0.01</c:v>
                </c:pt>
                <c:pt idx="1">
                  <c:v>0.05</c:v>
                </c:pt>
                <c:pt idx="2">
                  <c:v>0.1</c:v>
                </c:pt>
              </c:numCache>
            </c:numRef>
          </c:xVal>
          <c:yVal>
            <c:numRef>
              <c:f>Sheet1!$K$26:$M$26</c:f>
              <c:numCache>
                <c:formatCode>0.0%</c:formatCode>
                <c:ptCount val="3"/>
                <c:pt idx="0">
                  <c:v>1.15724485510288E-2</c:v>
                </c:pt>
                <c:pt idx="1">
                  <c:v>-4.7562788744225301E-2</c:v>
                </c:pt>
                <c:pt idx="2">
                  <c:v>0.242201595968081</c:v>
                </c:pt>
              </c:numCache>
            </c:numRef>
          </c:yVal>
          <c:smooth val="1"/>
          <c:extLst>
            <c:ext xmlns:c16="http://schemas.microsoft.com/office/drawing/2014/chart" uri="{C3380CC4-5D6E-409C-BE32-E72D297353CC}">
              <c16:uniqueId val="{00000001-6819-445C-85AC-C26F09F54606}"/>
            </c:ext>
          </c:extLst>
        </c:ser>
        <c:ser>
          <c:idx val="2"/>
          <c:order val="2"/>
          <c:tx>
            <c:strRef>
              <c:f>Sheet1!$J$27</c:f>
              <c:strCache>
                <c:ptCount val="1"/>
                <c:pt idx="0">
                  <c:v>100</c:v>
                </c:pt>
              </c:strCache>
            </c:strRef>
          </c:tx>
          <c:spPr>
            <a:ln w="19050" cap="rnd">
              <a:solidFill>
                <a:srgbClr val="0070C0"/>
              </a:solidFill>
              <a:prstDash val="dash"/>
              <a:round/>
            </a:ln>
            <a:effectLst/>
          </c:spPr>
          <c:marker>
            <c:symbol val="triangle"/>
            <c:size val="5"/>
            <c:spPr>
              <a:solidFill>
                <a:srgbClr val="0070C0"/>
              </a:solidFill>
              <a:ln w="9525">
                <a:solidFill>
                  <a:srgbClr val="0070C0"/>
                </a:solidFill>
              </a:ln>
              <a:effectLst/>
            </c:spPr>
          </c:marker>
          <c:xVal>
            <c:numRef>
              <c:f>Sheet1!$K$24:$M$24</c:f>
              <c:numCache>
                <c:formatCode>General</c:formatCode>
                <c:ptCount val="3"/>
                <c:pt idx="0">
                  <c:v>0.01</c:v>
                </c:pt>
                <c:pt idx="1">
                  <c:v>0.05</c:v>
                </c:pt>
                <c:pt idx="2">
                  <c:v>0.1</c:v>
                </c:pt>
              </c:numCache>
            </c:numRef>
          </c:xVal>
          <c:yVal>
            <c:numRef>
              <c:f>Sheet1!$K$27:$M$27</c:f>
              <c:numCache>
                <c:formatCode>0.0%</c:formatCode>
                <c:ptCount val="3"/>
                <c:pt idx="0">
                  <c:v>7.5827065370267302E-3</c:v>
                </c:pt>
                <c:pt idx="1">
                  <c:v>0.10274567357671401</c:v>
                </c:pt>
                <c:pt idx="2">
                  <c:v>0.44844982572005199</c:v>
                </c:pt>
              </c:numCache>
            </c:numRef>
          </c:yVal>
          <c:smooth val="1"/>
          <c:extLst>
            <c:ext xmlns:c16="http://schemas.microsoft.com/office/drawing/2014/chart" uri="{C3380CC4-5D6E-409C-BE32-E72D297353CC}">
              <c16:uniqueId val="{00000002-6819-445C-85AC-C26F09F54606}"/>
            </c:ext>
          </c:extLst>
        </c:ser>
        <c:dLbls>
          <c:showLegendKey val="0"/>
          <c:showVal val="0"/>
          <c:showCatName val="0"/>
          <c:showSerName val="0"/>
          <c:showPercent val="0"/>
          <c:showBubbleSize val="0"/>
        </c:dLbls>
        <c:axId val="1946677808"/>
        <c:axId val="1946649520"/>
      </c:scatterChart>
      <c:valAx>
        <c:axId val="1946677808"/>
        <c:scaling>
          <c:orientation val="minMax"/>
          <c:max val="0.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MY"/>
                  <a:t>Concentration of F-MWCNT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49520"/>
        <c:crosses val="autoZero"/>
        <c:crossBetween val="midCat"/>
      </c:valAx>
      <c:valAx>
        <c:axId val="1946649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Enhancemt of Dynamic Visocsity (%)</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946677808"/>
        <c:crosses val="autoZero"/>
        <c:crossBetween val="midCat"/>
        <c:majorUnit val="0.2"/>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C0582D0-9D7F-4BC9-8A9E-3517990DC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15</Pages>
  <Words>12474</Words>
  <Characters>71106</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Amarpreet Singh</dc:creator>
  <cp:keywords/>
  <dc:description/>
  <cp:lastModifiedBy>Rashmi Gangasa Walvekar</cp:lastModifiedBy>
  <cp:revision>7</cp:revision>
  <dcterms:created xsi:type="dcterms:W3CDTF">2018-03-20T12:04:00Z</dcterms:created>
  <dcterms:modified xsi:type="dcterms:W3CDTF">2018-03-22T03:16:00Z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bb8a6e92-bd2d-3b71-96f6-82b8462b6aae</vt:lpwstr>
  </property>
</Properties>
</file>